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655DA" w14:textId="77777777" w:rsidR="00894D5A" w:rsidRDefault="00894D5A" w:rsidP="007110BB">
      <w:pPr>
        <w:pStyle w:val="Heading1"/>
        <w:spacing w:before="0" w:after="0" w:line="240" w:lineRule="auto"/>
      </w:pPr>
    </w:p>
    <w:p w14:paraId="173D476E" w14:textId="77777777" w:rsidR="00894D5A" w:rsidRDefault="00894D5A" w:rsidP="007110BB">
      <w:pPr>
        <w:pStyle w:val="Heading1"/>
        <w:spacing w:before="0" w:after="0" w:line="240" w:lineRule="auto"/>
      </w:pPr>
    </w:p>
    <w:p w14:paraId="3F5BEACF" w14:textId="77777777" w:rsidR="00894D5A" w:rsidRDefault="00894D5A" w:rsidP="007110BB">
      <w:pPr>
        <w:pStyle w:val="Heading1"/>
        <w:spacing w:before="0" w:after="0" w:line="240" w:lineRule="auto"/>
      </w:pPr>
    </w:p>
    <w:p w14:paraId="2C4A6239" w14:textId="77777777" w:rsidR="00894D5A" w:rsidRDefault="00894D5A" w:rsidP="007110BB">
      <w:pPr>
        <w:pStyle w:val="Heading1"/>
        <w:spacing w:before="0" w:after="0" w:line="240" w:lineRule="auto"/>
      </w:pPr>
    </w:p>
    <w:p w14:paraId="4D60A9CD" w14:textId="77777777" w:rsidR="00FD4E27" w:rsidRDefault="00B62F71" w:rsidP="00FD4E27">
      <w:pPr>
        <w:pStyle w:val="Heading1"/>
        <w:spacing w:before="0" w:after="0" w:line="240" w:lineRule="auto"/>
      </w:pPr>
      <w:r w:rsidRPr="00834D9A">
        <w:t xml:space="preserve">PAY </w:t>
      </w:r>
      <w:r w:rsidRPr="00F9698C">
        <w:t>POLICY</w:t>
      </w:r>
      <w:r w:rsidRPr="00834D9A">
        <w:t xml:space="preserve"> STATEMENT</w:t>
      </w:r>
      <w:r w:rsidR="00F37E6E" w:rsidRPr="00834D9A">
        <w:t xml:space="preserve"> FINANCIAL YEAR 202</w:t>
      </w:r>
      <w:r w:rsidR="005F46C8">
        <w:t>3</w:t>
      </w:r>
      <w:r w:rsidR="00F37E6E" w:rsidRPr="00834D9A">
        <w:t>-202</w:t>
      </w:r>
      <w:r w:rsidR="005F46C8">
        <w:t>4</w:t>
      </w:r>
      <w:bookmarkStart w:id="0" w:name="_Toc97904873"/>
      <w:bookmarkStart w:id="1" w:name="_Toc98150041"/>
    </w:p>
    <w:p w14:paraId="26CF6366" w14:textId="77777777" w:rsidR="00FD4E27" w:rsidRDefault="00FD4E27" w:rsidP="00FD4E27">
      <w:pPr>
        <w:pStyle w:val="Heading1"/>
        <w:spacing w:before="0" w:after="0" w:line="240" w:lineRule="auto"/>
      </w:pPr>
    </w:p>
    <w:p w14:paraId="2001A211" w14:textId="728C687F" w:rsidR="00B62F71" w:rsidRPr="005D3E69" w:rsidRDefault="00B62F71" w:rsidP="00B60F59">
      <w:pPr>
        <w:pStyle w:val="Heading2"/>
        <w:numPr>
          <w:ilvl w:val="0"/>
          <w:numId w:val="4"/>
        </w:numPr>
        <w:rPr>
          <w:sz w:val="20"/>
          <w:szCs w:val="20"/>
        </w:rPr>
      </w:pPr>
      <w:r w:rsidRPr="00834D9A">
        <w:t>Introductio</w:t>
      </w:r>
      <w:bookmarkEnd w:id="0"/>
      <w:r w:rsidR="00147E50" w:rsidRPr="00834D9A">
        <w:t>n</w:t>
      </w:r>
      <w:bookmarkEnd w:id="1"/>
    </w:p>
    <w:p w14:paraId="447E6CAC" w14:textId="6FCC0C82" w:rsidR="00147E50" w:rsidRDefault="00B62F71" w:rsidP="007110BB">
      <w:pPr>
        <w:spacing w:after="0" w:line="240" w:lineRule="auto"/>
      </w:pPr>
      <w:r w:rsidRPr="00834D9A">
        <w:rPr>
          <w:lang w:eastAsia="en-GB"/>
        </w:rPr>
        <w:t xml:space="preserve">In determining pay and remuneration, the Council recognises the need to exercise the greatest care in managing scarce public resources while securing and retaining high quality employees.  </w:t>
      </w:r>
      <w:r w:rsidRPr="00834D9A">
        <w:t xml:space="preserve">We believe that the principle of fair pay is important and are committed to ensuring </w:t>
      </w:r>
      <w:r w:rsidR="00425800">
        <w:t>that our salaries and payments are subject to the pr</w:t>
      </w:r>
      <w:r w:rsidR="00C60A69">
        <w:t>i</w:t>
      </w:r>
      <w:r w:rsidR="00425800">
        <w:t>nciples of fairness, open</w:t>
      </w:r>
      <w:r w:rsidR="00C60A69">
        <w:t xml:space="preserve">ness and consistency and these can be tested </w:t>
      </w:r>
      <w:r w:rsidR="0016694D">
        <w:t>against value for money and equal pay.</w:t>
      </w:r>
    </w:p>
    <w:p w14:paraId="1BAEA10D" w14:textId="77777777" w:rsidR="0016694D" w:rsidRPr="00834D9A" w:rsidRDefault="0016694D" w:rsidP="007110BB">
      <w:pPr>
        <w:spacing w:after="0" w:line="240" w:lineRule="auto"/>
        <w:rPr>
          <w:lang w:eastAsia="en-GB"/>
        </w:rPr>
      </w:pPr>
    </w:p>
    <w:p w14:paraId="775901E3" w14:textId="0F1AA846" w:rsidR="00147E50" w:rsidRDefault="00B62F71" w:rsidP="007110BB">
      <w:pPr>
        <w:spacing w:after="0" w:line="240" w:lineRule="auto"/>
        <w:rPr>
          <w:rFonts w:cstheme="minorHAnsi"/>
          <w:szCs w:val="24"/>
        </w:rPr>
      </w:pPr>
      <w:r w:rsidRPr="00834D9A">
        <w:rPr>
          <w:rFonts w:cstheme="minorHAnsi"/>
          <w:szCs w:val="24"/>
          <w:lang w:eastAsia="en-GB"/>
        </w:rPr>
        <w:t xml:space="preserve">The level of remuneration is a very important factor in both recruitment and retention.  We therefore need to balance affordability with creating a </w:t>
      </w:r>
      <w:r w:rsidR="00521843">
        <w:rPr>
          <w:rFonts w:cstheme="minorHAnsi"/>
          <w:szCs w:val="24"/>
          <w:lang w:eastAsia="en-GB"/>
        </w:rPr>
        <w:t>pay and benefits</w:t>
      </w:r>
      <w:r w:rsidRPr="00834D9A">
        <w:rPr>
          <w:rFonts w:cstheme="minorHAnsi"/>
          <w:szCs w:val="24"/>
          <w:lang w:eastAsia="en-GB"/>
        </w:rPr>
        <w:t xml:space="preserve"> framework that ensures we can </w:t>
      </w:r>
      <w:r w:rsidRPr="00834D9A">
        <w:rPr>
          <w:rFonts w:cstheme="minorHAnsi"/>
          <w:szCs w:val="24"/>
        </w:rPr>
        <w:t>recruit, retain, motivate and develop employees who have the skills and capabilities necessary to ensure the continued provision of high</w:t>
      </w:r>
      <w:r w:rsidR="00020FB6">
        <w:rPr>
          <w:rFonts w:cstheme="minorHAnsi"/>
          <w:szCs w:val="24"/>
        </w:rPr>
        <w:t>-</w:t>
      </w:r>
      <w:r w:rsidRPr="00834D9A">
        <w:rPr>
          <w:rFonts w:cstheme="minorHAnsi"/>
          <w:szCs w:val="24"/>
        </w:rPr>
        <w:t>quality services.</w:t>
      </w:r>
    </w:p>
    <w:p w14:paraId="3E0188E8" w14:textId="77777777" w:rsidR="00A50CF8" w:rsidRPr="00834D9A" w:rsidRDefault="00A50CF8" w:rsidP="007110BB">
      <w:pPr>
        <w:spacing w:after="0" w:line="240" w:lineRule="auto"/>
        <w:rPr>
          <w:rFonts w:cstheme="minorHAnsi"/>
          <w:szCs w:val="24"/>
        </w:rPr>
      </w:pPr>
    </w:p>
    <w:p w14:paraId="3C4F69C4" w14:textId="5C5929A5" w:rsidR="00147E50" w:rsidRDefault="00B62F71" w:rsidP="007110BB">
      <w:pPr>
        <w:spacing w:after="0" w:line="240" w:lineRule="auto"/>
        <w:rPr>
          <w:rFonts w:cstheme="minorHAnsi"/>
          <w:szCs w:val="24"/>
        </w:rPr>
      </w:pPr>
      <w:r w:rsidRPr="00834D9A">
        <w:rPr>
          <w:rFonts w:cstheme="minorHAnsi"/>
          <w:szCs w:val="24"/>
        </w:rPr>
        <w:t>We aim to design our pay policies and procedures to ensure that pay levels reflect the relative demands and responsibilities of posts, together with the knowledge, skills and capabilities necessary to ensure that the post’s duties are undertaken to the required standard.</w:t>
      </w:r>
    </w:p>
    <w:p w14:paraId="639F98A0" w14:textId="77777777" w:rsidR="00542FFA" w:rsidRDefault="00542FFA" w:rsidP="007110BB">
      <w:pPr>
        <w:spacing w:after="0" w:line="240" w:lineRule="auto"/>
        <w:rPr>
          <w:rFonts w:cstheme="minorHAnsi"/>
          <w:szCs w:val="24"/>
        </w:rPr>
      </w:pPr>
    </w:p>
    <w:p w14:paraId="7511E377" w14:textId="126BD379" w:rsidR="00B62F71" w:rsidRPr="00357FE3" w:rsidRDefault="00B62F71" w:rsidP="00B60F59">
      <w:pPr>
        <w:pStyle w:val="Heading2"/>
        <w:numPr>
          <w:ilvl w:val="0"/>
          <w:numId w:val="4"/>
        </w:numPr>
        <w:rPr>
          <w:sz w:val="20"/>
          <w:szCs w:val="20"/>
        </w:rPr>
      </w:pPr>
      <w:bookmarkStart w:id="2" w:name="_Toc97904874"/>
      <w:bookmarkStart w:id="3" w:name="_Toc98150042"/>
      <w:r w:rsidRPr="00834D9A">
        <w:t>Purpose</w:t>
      </w:r>
      <w:bookmarkEnd w:id="2"/>
      <w:bookmarkEnd w:id="3"/>
    </w:p>
    <w:p w14:paraId="147AC2CA" w14:textId="77777777" w:rsidR="00306322" w:rsidRDefault="0017581A" w:rsidP="007110BB">
      <w:pPr>
        <w:spacing w:after="0" w:line="240" w:lineRule="auto"/>
      </w:pPr>
      <w:r>
        <w:rPr>
          <w:rFonts w:cstheme="minorHAnsi"/>
          <w:szCs w:val="24"/>
        </w:rPr>
        <w:t>Sections 38 to 42 of the Localism Act 2011</w:t>
      </w:r>
      <w:r w:rsidR="00630166">
        <w:rPr>
          <w:rFonts w:cstheme="minorHAnsi"/>
          <w:szCs w:val="24"/>
        </w:rPr>
        <w:t xml:space="preserve"> require that </w:t>
      </w:r>
      <w:r w:rsidR="00C253FB">
        <w:rPr>
          <w:rFonts w:cstheme="minorHAnsi"/>
          <w:szCs w:val="24"/>
        </w:rPr>
        <w:t>local authorities produce a</w:t>
      </w:r>
      <w:r w:rsidR="005061A6">
        <w:rPr>
          <w:rFonts w:cstheme="minorHAnsi"/>
          <w:szCs w:val="24"/>
        </w:rPr>
        <w:t xml:space="preserve">n annual </w:t>
      </w:r>
      <w:r w:rsidR="00C253FB">
        <w:rPr>
          <w:rFonts w:cstheme="minorHAnsi"/>
          <w:szCs w:val="24"/>
        </w:rPr>
        <w:t xml:space="preserve">policy statement that covers </w:t>
      </w:r>
      <w:proofErr w:type="gramStart"/>
      <w:r w:rsidR="00C253FB">
        <w:rPr>
          <w:rFonts w:cstheme="minorHAnsi"/>
          <w:szCs w:val="24"/>
        </w:rPr>
        <w:t>a number of</w:t>
      </w:r>
      <w:proofErr w:type="gramEnd"/>
      <w:r w:rsidR="00C253FB">
        <w:rPr>
          <w:rFonts w:cstheme="minorHAnsi"/>
          <w:szCs w:val="24"/>
        </w:rPr>
        <w:t xml:space="preserve"> </w:t>
      </w:r>
      <w:r w:rsidR="008D1D3D">
        <w:rPr>
          <w:rFonts w:cstheme="minorHAnsi"/>
          <w:szCs w:val="24"/>
        </w:rPr>
        <w:t>m</w:t>
      </w:r>
      <w:r w:rsidR="00C253FB">
        <w:rPr>
          <w:rFonts w:cstheme="minorHAnsi"/>
          <w:szCs w:val="24"/>
        </w:rPr>
        <w:t xml:space="preserve">atters concerning the pay of the </w:t>
      </w:r>
      <w:r w:rsidR="008D1D3D">
        <w:rPr>
          <w:rFonts w:cstheme="minorHAnsi"/>
          <w:szCs w:val="24"/>
        </w:rPr>
        <w:t>authority’s staff</w:t>
      </w:r>
      <w:r w:rsidR="004057C9">
        <w:rPr>
          <w:rFonts w:cstheme="minorHAnsi"/>
          <w:szCs w:val="24"/>
        </w:rPr>
        <w:t xml:space="preserve">, in particular </w:t>
      </w:r>
      <w:r w:rsidR="00B8102A">
        <w:rPr>
          <w:rFonts w:cstheme="minorHAnsi"/>
          <w:szCs w:val="24"/>
        </w:rPr>
        <w:t>our</w:t>
      </w:r>
      <w:r w:rsidR="00DB360C" w:rsidRPr="00DB360C">
        <w:rPr>
          <w:rFonts w:cstheme="minorHAnsi"/>
          <w:color w:val="333333"/>
          <w:shd w:val="clear" w:color="auto" w:fill="FFFFFF"/>
        </w:rPr>
        <w:t xml:space="preserve"> approach to the pay of </w:t>
      </w:r>
      <w:r w:rsidR="00B8102A">
        <w:rPr>
          <w:rFonts w:cstheme="minorHAnsi"/>
          <w:color w:val="333333"/>
          <w:shd w:val="clear" w:color="auto" w:fill="FFFFFF"/>
        </w:rPr>
        <w:t>our senior management</w:t>
      </w:r>
      <w:r w:rsidR="00DB360C" w:rsidRPr="00DB360C">
        <w:rPr>
          <w:rFonts w:cstheme="minorHAnsi"/>
          <w:color w:val="333333"/>
          <w:shd w:val="clear" w:color="auto" w:fill="FFFFFF"/>
        </w:rPr>
        <w:t xml:space="preserve"> and </w:t>
      </w:r>
      <w:r w:rsidR="00B8102A">
        <w:rPr>
          <w:rFonts w:cstheme="minorHAnsi"/>
          <w:color w:val="333333"/>
          <w:shd w:val="clear" w:color="auto" w:fill="FFFFFF"/>
        </w:rPr>
        <w:t xml:space="preserve">our </w:t>
      </w:r>
      <w:r w:rsidR="00DB360C" w:rsidRPr="00DB360C">
        <w:rPr>
          <w:rFonts w:cstheme="minorHAnsi"/>
          <w:color w:val="333333"/>
          <w:shd w:val="clear" w:color="auto" w:fill="FFFFFF"/>
        </w:rPr>
        <w:t>lowest paid employees</w:t>
      </w:r>
      <w:r w:rsidR="00B8102A">
        <w:rPr>
          <w:rFonts w:cstheme="minorHAnsi"/>
          <w:color w:val="333333"/>
          <w:shd w:val="clear" w:color="auto" w:fill="FFFFFF"/>
        </w:rPr>
        <w:t>,</w:t>
      </w:r>
      <w:r w:rsidR="00DB360C" w:rsidRPr="00DB360C">
        <w:rPr>
          <w:rFonts w:cstheme="minorHAnsi"/>
          <w:color w:val="333333"/>
          <w:shd w:val="clear" w:color="auto" w:fill="FFFFFF"/>
        </w:rPr>
        <w:t xml:space="preserve"> and the relationship between the two</w:t>
      </w:r>
      <w:r w:rsidR="00DC6C85">
        <w:rPr>
          <w:rFonts w:cstheme="minorHAnsi"/>
          <w:szCs w:val="24"/>
        </w:rPr>
        <w:t>.</w:t>
      </w:r>
      <w:r w:rsidR="008D1D3D">
        <w:rPr>
          <w:rFonts w:cstheme="minorHAnsi"/>
          <w:szCs w:val="24"/>
        </w:rPr>
        <w:t xml:space="preserve"> </w:t>
      </w:r>
      <w:r w:rsidR="00B8102A">
        <w:rPr>
          <w:rFonts w:cstheme="minorHAnsi"/>
          <w:szCs w:val="24"/>
        </w:rPr>
        <w:t xml:space="preserve"> </w:t>
      </w:r>
      <w:r w:rsidR="00B62F71" w:rsidRPr="00834D9A">
        <w:rPr>
          <w:rFonts w:cstheme="minorHAnsi"/>
          <w:szCs w:val="24"/>
        </w:rPr>
        <w:t xml:space="preserve">The aim behind this </w:t>
      </w:r>
      <w:r w:rsidR="001A039E">
        <w:rPr>
          <w:rFonts w:cstheme="minorHAnsi"/>
          <w:szCs w:val="24"/>
        </w:rPr>
        <w:t>P</w:t>
      </w:r>
      <w:r w:rsidR="00B62F71" w:rsidRPr="00834D9A">
        <w:rPr>
          <w:rFonts w:cstheme="minorHAnsi"/>
          <w:szCs w:val="24"/>
        </w:rPr>
        <w:t xml:space="preserve">ay </w:t>
      </w:r>
      <w:r w:rsidR="001A039E">
        <w:rPr>
          <w:rFonts w:cstheme="minorHAnsi"/>
          <w:szCs w:val="24"/>
        </w:rPr>
        <w:t>P</w:t>
      </w:r>
      <w:r w:rsidR="00B62F71" w:rsidRPr="00834D9A">
        <w:rPr>
          <w:rFonts w:cstheme="minorHAnsi"/>
          <w:szCs w:val="24"/>
        </w:rPr>
        <w:t>olicy Statement is to ensure that our approach to pay is transparent</w:t>
      </w:r>
      <w:r w:rsidR="00CC2129">
        <w:rPr>
          <w:rFonts w:cstheme="minorHAnsi"/>
          <w:szCs w:val="24"/>
        </w:rPr>
        <w:t>.</w:t>
      </w:r>
      <w:r w:rsidR="00B25CEE">
        <w:rPr>
          <w:rFonts w:cstheme="minorHAnsi"/>
          <w:szCs w:val="24"/>
        </w:rPr>
        <w:t xml:space="preserve"> </w:t>
      </w:r>
      <w:r w:rsidR="007F36A1">
        <w:rPr>
          <w:rFonts w:cstheme="minorHAnsi"/>
          <w:szCs w:val="24"/>
        </w:rPr>
        <w:t xml:space="preserve"> </w:t>
      </w:r>
      <w:r w:rsidR="00B25CEE">
        <w:rPr>
          <w:rFonts w:cstheme="minorHAnsi"/>
          <w:szCs w:val="24"/>
        </w:rPr>
        <w:t xml:space="preserve">This </w:t>
      </w:r>
      <w:r w:rsidR="003B6FDA">
        <w:rPr>
          <w:rFonts w:cstheme="minorHAnsi"/>
          <w:szCs w:val="24"/>
        </w:rPr>
        <w:t xml:space="preserve">policy statement meets the requirements of the Localism Act in this regard </w:t>
      </w:r>
      <w:proofErr w:type="gramStart"/>
      <w:r w:rsidR="003B6FDA">
        <w:rPr>
          <w:rFonts w:cstheme="minorHAnsi"/>
          <w:szCs w:val="24"/>
        </w:rPr>
        <w:t>and also</w:t>
      </w:r>
      <w:proofErr w:type="gramEnd"/>
      <w:r w:rsidR="003B6FDA">
        <w:rPr>
          <w:rFonts w:cstheme="minorHAnsi"/>
          <w:szCs w:val="24"/>
        </w:rPr>
        <w:t xml:space="preserve"> meets the requirements o</w:t>
      </w:r>
      <w:r w:rsidR="0008492B">
        <w:rPr>
          <w:rFonts w:cstheme="minorHAnsi"/>
          <w:szCs w:val="24"/>
        </w:rPr>
        <w:t>f guidance issued by the Secretary of Sta</w:t>
      </w:r>
      <w:r w:rsidR="00D54BB4">
        <w:rPr>
          <w:rFonts w:cstheme="minorHAnsi"/>
          <w:szCs w:val="24"/>
        </w:rPr>
        <w:t>te for Housing, Communities and Local Government to which the authority is required to have regard</w:t>
      </w:r>
      <w:r w:rsidR="00AF0AC5">
        <w:rPr>
          <w:rFonts w:cstheme="minorHAnsi"/>
          <w:szCs w:val="24"/>
        </w:rPr>
        <w:t xml:space="preserve"> under Section 40 of the Act.</w:t>
      </w:r>
      <w:r w:rsidR="00306322" w:rsidRPr="00306322">
        <w:t xml:space="preserve"> </w:t>
      </w:r>
    </w:p>
    <w:p w14:paraId="4F755C3E" w14:textId="77777777" w:rsidR="00306322" w:rsidRDefault="00306322" w:rsidP="007110BB">
      <w:pPr>
        <w:spacing w:after="0" w:line="240" w:lineRule="auto"/>
      </w:pPr>
    </w:p>
    <w:p w14:paraId="28F6F81C" w14:textId="5A883FCB" w:rsidR="00405E5B" w:rsidRDefault="00405E5B" w:rsidP="007110BB">
      <w:pPr>
        <w:spacing w:after="0" w:line="240" w:lineRule="auto"/>
        <w:rPr>
          <w:rFonts w:cstheme="minorHAnsi"/>
          <w:szCs w:val="24"/>
        </w:rPr>
      </w:pPr>
      <w:r>
        <w:rPr>
          <w:rFonts w:cstheme="minorHAnsi"/>
          <w:szCs w:val="24"/>
        </w:rPr>
        <w:t>Following approval by full Council we will publish this Pay Policy Statement on our website at</w:t>
      </w:r>
      <w:r w:rsidR="00A9642E" w:rsidRPr="00A9642E">
        <w:rPr>
          <w:rFonts w:ascii="Roboto" w:hAnsi="Roboto"/>
          <w:color w:val="006621"/>
          <w:shd w:val="clear" w:color="auto" w:fill="FFFFFF"/>
        </w:rPr>
        <w:t xml:space="preserve"> </w:t>
      </w:r>
      <w:hyperlink r:id="rId8" w:history="1">
        <w:r w:rsidR="001F7C53" w:rsidRPr="007E0E00">
          <w:rPr>
            <w:rStyle w:val="Hyperlink"/>
          </w:rPr>
          <w:t>http://www.guildford.gov.uk/transparencydata</w:t>
        </w:r>
      </w:hyperlink>
      <w:hyperlink r:id="rId9" w:history="1"/>
      <w:r w:rsidR="00A9642E">
        <w:rPr>
          <w:rFonts w:cstheme="minorHAnsi"/>
          <w:szCs w:val="24"/>
        </w:rPr>
        <w:t xml:space="preserve"> .</w:t>
      </w:r>
      <w:r w:rsidR="00DF1143">
        <w:rPr>
          <w:rFonts w:cstheme="minorHAnsi"/>
          <w:szCs w:val="24"/>
        </w:rPr>
        <w:t xml:space="preserve">  Any subsequent amendment to this statement made during the financial year will be similarly published.</w:t>
      </w:r>
    </w:p>
    <w:p w14:paraId="329D36B4" w14:textId="77777777" w:rsidR="00DF1143" w:rsidRDefault="00DF1143" w:rsidP="007110BB">
      <w:pPr>
        <w:spacing w:after="0" w:line="240" w:lineRule="auto"/>
        <w:rPr>
          <w:rFonts w:cstheme="minorHAnsi"/>
          <w:szCs w:val="24"/>
        </w:rPr>
      </w:pPr>
    </w:p>
    <w:p w14:paraId="7D0D6F85" w14:textId="77777777" w:rsidR="00405E5B" w:rsidRDefault="00405E5B" w:rsidP="007110BB">
      <w:pPr>
        <w:spacing w:after="0" w:line="240" w:lineRule="auto"/>
        <w:rPr>
          <w:rFonts w:cstheme="minorHAnsi"/>
          <w:szCs w:val="24"/>
        </w:rPr>
      </w:pPr>
    </w:p>
    <w:p w14:paraId="4C249A24" w14:textId="523CC8C2" w:rsidR="006C264D" w:rsidRDefault="00542204" w:rsidP="007110BB">
      <w:pPr>
        <w:spacing w:after="0" w:line="240" w:lineRule="auto"/>
        <w:rPr>
          <w:rFonts w:cstheme="minorHAnsi"/>
          <w:szCs w:val="24"/>
        </w:rPr>
      </w:pPr>
      <w:r>
        <w:rPr>
          <w:rFonts w:cstheme="minorHAnsi"/>
          <w:szCs w:val="24"/>
        </w:rPr>
        <w:lastRenderedPageBreak/>
        <w:t>Data on pay and rewards for staff is published on our website i</w:t>
      </w:r>
      <w:r w:rsidR="00335C9B">
        <w:rPr>
          <w:rFonts w:cstheme="minorHAnsi"/>
          <w:szCs w:val="24"/>
        </w:rPr>
        <w:t>n line with the</w:t>
      </w:r>
      <w:r w:rsidR="00425E12">
        <w:rPr>
          <w:rFonts w:cstheme="minorHAnsi"/>
          <w:szCs w:val="24"/>
        </w:rPr>
        <w:t xml:space="preserve"> Code of Recommended Practice</w:t>
      </w:r>
      <w:r w:rsidR="00761E2A">
        <w:rPr>
          <w:rFonts w:cstheme="minorHAnsi"/>
          <w:szCs w:val="24"/>
        </w:rPr>
        <w:t xml:space="preserve"> for Local Authorities on Data Transparency</w:t>
      </w:r>
      <w:r w:rsidR="009D114B">
        <w:rPr>
          <w:rFonts w:cstheme="minorHAnsi"/>
          <w:szCs w:val="24"/>
        </w:rPr>
        <w:t xml:space="preserve"> and the Account</w:t>
      </w:r>
      <w:r w:rsidR="00B40E7B">
        <w:rPr>
          <w:rFonts w:cstheme="minorHAnsi"/>
          <w:szCs w:val="24"/>
        </w:rPr>
        <w:t>s</w:t>
      </w:r>
      <w:r w:rsidR="009D114B">
        <w:rPr>
          <w:rFonts w:cstheme="minorHAnsi"/>
          <w:szCs w:val="24"/>
        </w:rPr>
        <w:t xml:space="preserve"> and Audit Regulations 201</w:t>
      </w:r>
      <w:r w:rsidR="00B40E7B">
        <w:rPr>
          <w:rFonts w:cstheme="minorHAnsi"/>
          <w:szCs w:val="24"/>
        </w:rPr>
        <w:t>5</w:t>
      </w:r>
      <w:r>
        <w:rPr>
          <w:rFonts w:cstheme="minorHAnsi"/>
          <w:szCs w:val="24"/>
        </w:rPr>
        <w:t>.</w:t>
      </w:r>
    </w:p>
    <w:p w14:paraId="5170019C" w14:textId="77777777" w:rsidR="00A9642E" w:rsidRDefault="00A9642E" w:rsidP="007110BB">
      <w:pPr>
        <w:spacing w:after="0" w:line="240" w:lineRule="auto"/>
        <w:rPr>
          <w:rFonts w:cstheme="minorHAnsi"/>
          <w:szCs w:val="24"/>
        </w:rPr>
      </w:pPr>
    </w:p>
    <w:p w14:paraId="47DED617" w14:textId="4D9C808E" w:rsidR="00B62F71" w:rsidRPr="007F36A1" w:rsidRDefault="005615F5" w:rsidP="00B60F59">
      <w:pPr>
        <w:pStyle w:val="Heading2"/>
        <w:numPr>
          <w:ilvl w:val="0"/>
          <w:numId w:val="4"/>
        </w:numPr>
        <w:rPr>
          <w:sz w:val="20"/>
          <w:szCs w:val="20"/>
        </w:rPr>
      </w:pPr>
      <w:bookmarkStart w:id="4" w:name="_Toc97904876"/>
      <w:bookmarkStart w:id="5" w:name="_Toc98150044"/>
      <w:r>
        <w:t xml:space="preserve">Decision </w:t>
      </w:r>
      <w:r w:rsidR="00626246">
        <w:t>m</w:t>
      </w:r>
      <w:r>
        <w:t xml:space="preserve">aking on </w:t>
      </w:r>
      <w:r w:rsidR="00626246">
        <w:t>p</w:t>
      </w:r>
      <w:r>
        <w:t>ay</w:t>
      </w:r>
      <w:bookmarkEnd w:id="4"/>
      <w:bookmarkEnd w:id="5"/>
    </w:p>
    <w:p w14:paraId="244E3F40" w14:textId="0641C0C7" w:rsidR="00A9642E" w:rsidRDefault="00B62F71" w:rsidP="00FB5FD7">
      <w:pPr>
        <w:spacing w:after="0" w:line="240" w:lineRule="auto"/>
        <w:rPr>
          <w:rFonts w:cstheme="minorHAnsi"/>
          <w:szCs w:val="24"/>
        </w:rPr>
      </w:pPr>
      <w:r w:rsidRPr="00834D9A">
        <w:rPr>
          <w:rFonts w:cstheme="minorHAnsi"/>
          <w:szCs w:val="24"/>
        </w:rPr>
        <w:t>Our overall approach to remuneration for all employees</w:t>
      </w:r>
      <w:r w:rsidR="00050794">
        <w:rPr>
          <w:rFonts w:cstheme="minorHAnsi"/>
          <w:szCs w:val="24"/>
        </w:rPr>
        <w:t xml:space="preserve"> </w:t>
      </w:r>
      <w:r w:rsidRPr="00834D9A">
        <w:rPr>
          <w:rFonts w:cstheme="minorHAnsi"/>
          <w:szCs w:val="24"/>
        </w:rPr>
        <w:t>is based on</w:t>
      </w:r>
      <w:r w:rsidR="00FB5FD7">
        <w:rPr>
          <w:rFonts w:cstheme="minorHAnsi"/>
          <w:szCs w:val="24"/>
        </w:rPr>
        <w:t xml:space="preserve"> </w:t>
      </w:r>
      <w:r w:rsidRPr="00834D9A">
        <w:rPr>
          <w:rFonts w:cstheme="minorHAnsi"/>
          <w:szCs w:val="24"/>
        </w:rPr>
        <w:t>compliance with equal pay, discrimination</w:t>
      </w:r>
      <w:r w:rsidR="00020FB6">
        <w:rPr>
          <w:rFonts w:cstheme="minorHAnsi"/>
          <w:szCs w:val="24"/>
        </w:rPr>
        <w:t>,</w:t>
      </w:r>
      <w:r w:rsidRPr="00834D9A">
        <w:rPr>
          <w:rFonts w:cstheme="minorHAnsi"/>
          <w:szCs w:val="24"/>
        </w:rPr>
        <w:t xml:space="preserve"> and other relevant employment legislation such as the Equality Act 2010, plus</w:t>
      </w:r>
      <w:r w:rsidR="00FB5FD7">
        <w:rPr>
          <w:rFonts w:cstheme="minorHAnsi"/>
          <w:szCs w:val="24"/>
        </w:rPr>
        <w:t xml:space="preserve"> </w:t>
      </w:r>
      <w:r w:rsidRPr="006A47A2">
        <w:rPr>
          <w:rFonts w:cstheme="minorHAnsi"/>
          <w:szCs w:val="24"/>
        </w:rPr>
        <w:t>ensuring that our overall remuneration packages align with market norms for local government and public sectors</w:t>
      </w:r>
      <w:r w:rsidR="00FB5FD7">
        <w:rPr>
          <w:rFonts w:cstheme="minorHAnsi"/>
          <w:szCs w:val="24"/>
        </w:rPr>
        <w:t xml:space="preserve">.  </w:t>
      </w:r>
      <w:r w:rsidR="008345BE">
        <w:rPr>
          <w:rFonts w:cstheme="minorHAnsi"/>
          <w:szCs w:val="24"/>
        </w:rPr>
        <w:t xml:space="preserve">We also </w:t>
      </w:r>
      <w:r w:rsidRPr="006A47A2">
        <w:rPr>
          <w:rFonts w:cstheme="minorHAnsi"/>
          <w:szCs w:val="24"/>
        </w:rPr>
        <w:t>tak</w:t>
      </w:r>
      <w:r w:rsidR="008345BE">
        <w:rPr>
          <w:rFonts w:cstheme="minorHAnsi"/>
          <w:szCs w:val="24"/>
        </w:rPr>
        <w:t>e</w:t>
      </w:r>
      <w:r w:rsidRPr="006A47A2">
        <w:rPr>
          <w:rFonts w:cstheme="minorHAnsi"/>
          <w:szCs w:val="24"/>
        </w:rPr>
        <w:t xml:space="preserve"> account of</w:t>
      </w:r>
      <w:r w:rsidR="006A47A2" w:rsidRPr="006A47A2">
        <w:rPr>
          <w:rFonts w:cstheme="minorHAnsi"/>
          <w:szCs w:val="24"/>
        </w:rPr>
        <w:t xml:space="preserve"> </w:t>
      </w:r>
      <w:r w:rsidRPr="006A47A2">
        <w:rPr>
          <w:rFonts w:cstheme="minorHAnsi"/>
          <w:szCs w:val="24"/>
        </w:rPr>
        <w:t>pay levels in the local area, including neighbouring public sector employers</w:t>
      </w:r>
      <w:r w:rsidR="006A47A2" w:rsidRPr="006A47A2">
        <w:rPr>
          <w:rFonts w:cstheme="minorHAnsi"/>
          <w:szCs w:val="24"/>
        </w:rPr>
        <w:t xml:space="preserve"> and the</w:t>
      </w:r>
      <w:r w:rsidRPr="006A47A2">
        <w:rPr>
          <w:rFonts w:cstheme="minorHAnsi"/>
          <w:szCs w:val="24"/>
        </w:rPr>
        <w:t xml:space="preserve"> relative cost of living in the local area, particularly housing costs</w:t>
      </w:r>
      <w:r w:rsidR="00147E50" w:rsidRPr="006A47A2">
        <w:rPr>
          <w:rFonts w:cstheme="minorHAnsi"/>
          <w:szCs w:val="24"/>
        </w:rPr>
        <w:t>.</w:t>
      </w:r>
      <w:r w:rsidR="00A9642E">
        <w:rPr>
          <w:rFonts w:cstheme="minorHAnsi"/>
          <w:szCs w:val="24"/>
        </w:rPr>
        <w:t xml:space="preserve">  </w:t>
      </w:r>
    </w:p>
    <w:p w14:paraId="0CC4D57B" w14:textId="77777777" w:rsidR="00A9642E" w:rsidRDefault="00A9642E" w:rsidP="00FB5FD7">
      <w:pPr>
        <w:spacing w:after="0" w:line="240" w:lineRule="auto"/>
        <w:rPr>
          <w:rFonts w:cstheme="minorHAnsi"/>
          <w:szCs w:val="24"/>
        </w:rPr>
      </w:pPr>
    </w:p>
    <w:p w14:paraId="0DA20B35" w14:textId="238D55E1" w:rsidR="0028786C" w:rsidRDefault="00A9642E" w:rsidP="00FB5FD7">
      <w:pPr>
        <w:spacing w:after="0" w:line="240" w:lineRule="auto"/>
        <w:rPr>
          <w:rFonts w:cstheme="minorHAnsi"/>
          <w:szCs w:val="24"/>
        </w:rPr>
      </w:pPr>
      <w:r>
        <w:rPr>
          <w:rFonts w:cstheme="minorHAnsi"/>
          <w:szCs w:val="24"/>
        </w:rPr>
        <w:t>O</w:t>
      </w:r>
      <w:r w:rsidRPr="00834D9A">
        <w:rPr>
          <w:rFonts w:cstheme="minorHAnsi"/>
          <w:szCs w:val="24"/>
        </w:rPr>
        <w:t>ur pay rates and grading structure are determined locally</w:t>
      </w:r>
      <w:r w:rsidR="00020FB6">
        <w:rPr>
          <w:rFonts w:cstheme="minorHAnsi"/>
          <w:szCs w:val="24"/>
        </w:rPr>
        <w:t>,</w:t>
      </w:r>
      <w:r>
        <w:rPr>
          <w:rFonts w:cstheme="minorHAnsi"/>
          <w:szCs w:val="24"/>
        </w:rPr>
        <w:t xml:space="preserve"> and a local pay negotiation process is used. Our employees have locally agreed terms and conditions of employment which are incorporated into their contracts of employment.  We apply the UK real Living Wage at our minimum salary point.</w:t>
      </w:r>
    </w:p>
    <w:p w14:paraId="75C7850F" w14:textId="77777777" w:rsidR="00A9642E" w:rsidRPr="006A47A2" w:rsidRDefault="00A9642E" w:rsidP="00FB5FD7">
      <w:pPr>
        <w:spacing w:after="0" w:line="240" w:lineRule="auto"/>
        <w:rPr>
          <w:rFonts w:cstheme="minorHAnsi"/>
          <w:szCs w:val="24"/>
        </w:rPr>
      </w:pPr>
    </w:p>
    <w:p w14:paraId="4355D0DD" w14:textId="48627D8F" w:rsidR="00096DCC" w:rsidRDefault="00B62F71" w:rsidP="007110BB">
      <w:pPr>
        <w:spacing w:after="0" w:line="240" w:lineRule="auto"/>
        <w:rPr>
          <w:rFonts w:cstheme="minorHAnsi"/>
          <w:szCs w:val="24"/>
        </w:rPr>
      </w:pPr>
      <w:r w:rsidRPr="00834D9A">
        <w:rPr>
          <w:rFonts w:eastAsia="Times New Roman" w:cstheme="minorHAnsi"/>
          <w:szCs w:val="24"/>
          <w:lang w:eastAsia="en-GB"/>
        </w:rPr>
        <w:t xml:space="preserve">All pay differentials can be </w:t>
      </w:r>
      <w:r w:rsidR="00020FB6" w:rsidRPr="00834D9A">
        <w:rPr>
          <w:rFonts w:eastAsia="Times New Roman" w:cstheme="minorHAnsi"/>
          <w:szCs w:val="24"/>
          <w:lang w:eastAsia="en-GB"/>
        </w:rPr>
        <w:t xml:space="preserve">justified </w:t>
      </w:r>
      <w:r w:rsidRPr="00834D9A">
        <w:rPr>
          <w:rFonts w:eastAsia="Times New Roman" w:cstheme="minorHAnsi"/>
          <w:szCs w:val="24"/>
          <w:lang w:eastAsia="en-GB"/>
        </w:rPr>
        <w:t>objectively using job evaluation mechanisms that directly establish the relative levels of posts in pay bands</w:t>
      </w:r>
      <w:r w:rsidR="003F3621">
        <w:rPr>
          <w:rFonts w:eastAsia="Times New Roman" w:cstheme="minorHAnsi"/>
          <w:szCs w:val="24"/>
          <w:lang w:eastAsia="en-GB"/>
        </w:rPr>
        <w:t xml:space="preserve"> </w:t>
      </w:r>
      <w:r w:rsidRPr="00834D9A">
        <w:rPr>
          <w:rFonts w:eastAsia="Times New Roman" w:cstheme="minorHAnsi"/>
          <w:szCs w:val="24"/>
          <w:lang w:eastAsia="en-GB"/>
        </w:rPr>
        <w:t>according to the requirements, demands and responsibilities of the post.</w:t>
      </w:r>
      <w:r w:rsidR="0028786C">
        <w:rPr>
          <w:rFonts w:eastAsia="Times New Roman" w:cstheme="minorHAnsi"/>
          <w:szCs w:val="24"/>
          <w:lang w:eastAsia="en-GB"/>
        </w:rPr>
        <w:t xml:space="preserve"> </w:t>
      </w:r>
    </w:p>
    <w:p w14:paraId="75311A5B" w14:textId="77777777" w:rsidR="003D0DB3" w:rsidRDefault="003D0DB3" w:rsidP="003D0DB3">
      <w:pPr>
        <w:spacing w:after="0" w:line="240" w:lineRule="auto"/>
        <w:rPr>
          <w:rFonts w:cstheme="minorHAnsi"/>
          <w:szCs w:val="24"/>
        </w:rPr>
      </w:pPr>
    </w:p>
    <w:p w14:paraId="25BCE536" w14:textId="316AD095" w:rsidR="00956170" w:rsidRPr="00F72CD9" w:rsidRDefault="00523FD0" w:rsidP="00956170">
      <w:pPr>
        <w:spacing w:after="0" w:line="240" w:lineRule="auto"/>
        <w:rPr>
          <w:rFonts w:cstheme="minorHAnsi"/>
          <w:color w:val="FF0000"/>
          <w:szCs w:val="24"/>
        </w:rPr>
      </w:pPr>
      <w:r>
        <w:rPr>
          <w:rFonts w:cstheme="minorHAnsi"/>
          <w:szCs w:val="24"/>
        </w:rPr>
        <w:t>T</w:t>
      </w:r>
      <w:r w:rsidR="00956170" w:rsidRPr="00834D9A">
        <w:rPr>
          <w:rFonts w:cstheme="minorHAnsi"/>
          <w:szCs w:val="24"/>
        </w:rPr>
        <w:t>he Council’s pay policy is based on a pay and grading structure that</w:t>
      </w:r>
      <w:r w:rsidR="00956170">
        <w:rPr>
          <w:rFonts w:cstheme="minorHAnsi"/>
          <w:szCs w:val="24"/>
        </w:rPr>
        <w:t xml:space="preserve"> </w:t>
      </w:r>
      <w:r w:rsidR="00A9642E">
        <w:rPr>
          <w:rFonts w:cstheme="minorHAnsi"/>
          <w:szCs w:val="24"/>
        </w:rPr>
        <w:t xml:space="preserve">is </w:t>
      </w:r>
      <w:r w:rsidR="00956170" w:rsidRPr="00834D9A">
        <w:rPr>
          <w:rFonts w:cstheme="minorHAnsi"/>
          <w:szCs w:val="24"/>
        </w:rPr>
        <w:t>comprise</w:t>
      </w:r>
      <w:r w:rsidR="00A9642E">
        <w:rPr>
          <w:rFonts w:cstheme="minorHAnsi"/>
          <w:szCs w:val="24"/>
        </w:rPr>
        <w:t>d</w:t>
      </w:r>
      <w:r w:rsidR="00956170" w:rsidRPr="00834D9A">
        <w:rPr>
          <w:rFonts w:cstheme="minorHAnsi"/>
          <w:szCs w:val="24"/>
        </w:rPr>
        <w:t xml:space="preserve"> of pay bands with </w:t>
      </w:r>
      <w:proofErr w:type="gramStart"/>
      <w:r w:rsidR="00956170" w:rsidRPr="00834D9A">
        <w:rPr>
          <w:rFonts w:cstheme="minorHAnsi"/>
          <w:szCs w:val="24"/>
        </w:rPr>
        <w:t>a number of</w:t>
      </w:r>
      <w:proofErr w:type="gramEnd"/>
      <w:r w:rsidR="00956170" w:rsidRPr="00834D9A">
        <w:rPr>
          <w:rFonts w:cstheme="minorHAnsi"/>
          <w:szCs w:val="24"/>
        </w:rPr>
        <w:t xml:space="preserve"> incremental points.  An employee’s pay progression</w:t>
      </w:r>
      <w:r w:rsidR="00956170">
        <w:rPr>
          <w:rFonts w:cstheme="minorHAnsi"/>
          <w:szCs w:val="24"/>
        </w:rPr>
        <w:t xml:space="preserve"> </w:t>
      </w:r>
      <w:r w:rsidR="00956170" w:rsidRPr="00834D9A">
        <w:rPr>
          <w:rFonts w:cstheme="minorHAnsi"/>
          <w:szCs w:val="24"/>
        </w:rPr>
        <w:t>will normally be one increment (pay spine column point within a band</w:t>
      </w:r>
      <w:r w:rsidR="006C25AF">
        <w:rPr>
          <w:rFonts w:cstheme="minorHAnsi"/>
          <w:szCs w:val="24"/>
        </w:rPr>
        <w:t>)</w:t>
      </w:r>
      <w:r w:rsidR="00956170" w:rsidRPr="00834D9A">
        <w:rPr>
          <w:rFonts w:cstheme="minorHAnsi"/>
          <w:szCs w:val="24"/>
        </w:rPr>
        <w:t xml:space="preserve"> on 1 </w:t>
      </w:r>
      <w:r w:rsidR="002F39CE">
        <w:rPr>
          <w:rFonts w:cstheme="minorHAnsi"/>
          <w:szCs w:val="24"/>
        </w:rPr>
        <w:t>April</w:t>
      </w:r>
      <w:r w:rsidR="00956170" w:rsidRPr="00834D9A">
        <w:rPr>
          <w:rFonts w:cstheme="minorHAnsi"/>
          <w:szCs w:val="24"/>
        </w:rPr>
        <w:t xml:space="preserve"> each year,</w:t>
      </w:r>
      <w:r w:rsidR="00956170">
        <w:rPr>
          <w:rFonts w:cstheme="minorHAnsi"/>
          <w:szCs w:val="24"/>
        </w:rPr>
        <w:t xml:space="preserve"> </w:t>
      </w:r>
      <w:r w:rsidR="00956170" w:rsidRPr="00834D9A">
        <w:rPr>
          <w:rFonts w:cstheme="minorHAnsi"/>
          <w:szCs w:val="24"/>
        </w:rPr>
        <w:t>until the top of the band is reached.  Pay progression is subject to satisfactory</w:t>
      </w:r>
      <w:r w:rsidR="00956170">
        <w:rPr>
          <w:rFonts w:cstheme="minorHAnsi"/>
          <w:szCs w:val="24"/>
        </w:rPr>
        <w:t xml:space="preserve"> </w:t>
      </w:r>
      <w:r w:rsidR="00956170" w:rsidRPr="00834D9A">
        <w:rPr>
          <w:rFonts w:cstheme="minorHAnsi"/>
          <w:szCs w:val="24"/>
        </w:rPr>
        <w:t>performance and behaviours that are assessed as part of the Council’s performance review</w:t>
      </w:r>
      <w:r w:rsidR="00956170">
        <w:rPr>
          <w:rFonts w:cstheme="minorHAnsi"/>
          <w:szCs w:val="24"/>
        </w:rPr>
        <w:t xml:space="preserve"> </w:t>
      </w:r>
      <w:r w:rsidR="00956170" w:rsidRPr="00834D9A">
        <w:rPr>
          <w:rFonts w:cstheme="minorHAnsi"/>
          <w:szCs w:val="24"/>
        </w:rPr>
        <w:t xml:space="preserve">process. </w:t>
      </w:r>
    </w:p>
    <w:p w14:paraId="1F2F1EFB" w14:textId="77777777" w:rsidR="002F39CE" w:rsidRPr="00834D9A" w:rsidRDefault="002F39CE" w:rsidP="00956170">
      <w:pPr>
        <w:spacing w:after="0" w:line="240" w:lineRule="auto"/>
        <w:rPr>
          <w:rFonts w:cstheme="minorHAnsi"/>
          <w:szCs w:val="24"/>
        </w:rPr>
      </w:pPr>
    </w:p>
    <w:p w14:paraId="5453542C" w14:textId="49B374B2" w:rsidR="00956170" w:rsidRPr="00834D9A" w:rsidRDefault="00956170" w:rsidP="00956170">
      <w:pPr>
        <w:spacing w:after="0" w:line="240" w:lineRule="auto"/>
        <w:rPr>
          <w:rFonts w:cstheme="minorHAnsi"/>
          <w:szCs w:val="24"/>
        </w:rPr>
      </w:pPr>
      <w:r w:rsidRPr="00834D9A">
        <w:rPr>
          <w:rFonts w:cstheme="minorHAnsi"/>
          <w:szCs w:val="24"/>
        </w:rPr>
        <w:t xml:space="preserve">Depending on the Council’s financial situation, we may agree a cost-of-living increase for all staff from 1 </w:t>
      </w:r>
      <w:r w:rsidR="00D234FD">
        <w:rPr>
          <w:rFonts w:cstheme="minorHAnsi"/>
          <w:szCs w:val="24"/>
        </w:rPr>
        <w:t>April</w:t>
      </w:r>
      <w:r w:rsidRPr="00834D9A">
        <w:rPr>
          <w:rFonts w:cstheme="minorHAnsi"/>
          <w:szCs w:val="24"/>
        </w:rPr>
        <w:t xml:space="preserve"> each year. </w:t>
      </w:r>
      <w:r>
        <w:rPr>
          <w:rFonts w:cstheme="minorHAnsi"/>
          <w:szCs w:val="24"/>
        </w:rPr>
        <w:t xml:space="preserve"> </w:t>
      </w:r>
      <w:r w:rsidR="00D234FD" w:rsidRPr="00834D9A">
        <w:t>The Chief Executive in consultation with the Leader</w:t>
      </w:r>
      <w:r w:rsidR="00D234FD">
        <w:t xml:space="preserve"> of the Council</w:t>
      </w:r>
      <w:r w:rsidR="00D234FD" w:rsidRPr="00834D9A">
        <w:t xml:space="preserve"> agrees the award </w:t>
      </w:r>
      <w:proofErr w:type="gramStart"/>
      <w:r w:rsidR="00D234FD" w:rsidRPr="00834D9A">
        <w:t xml:space="preserve">provided </w:t>
      </w:r>
      <w:r w:rsidR="00020FB6">
        <w:t>that</w:t>
      </w:r>
      <w:proofErr w:type="gramEnd"/>
      <w:r w:rsidR="00020FB6">
        <w:t xml:space="preserve"> </w:t>
      </w:r>
      <w:r w:rsidR="00D234FD" w:rsidRPr="00834D9A">
        <w:t xml:space="preserve">it is within the available budget.  </w:t>
      </w:r>
      <w:r w:rsidRPr="00834D9A">
        <w:rPr>
          <w:rFonts w:cstheme="minorHAnsi"/>
          <w:szCs w:val="24"/>
        </w:rPr>
        <w:t xml:space="preserve">  We do not pay any bonuses or non-consolidated performance contribution payments.</w:t>
      </w:r>
      <w:r w:rsidR="001A546A">
        <w:rPr>
          <w:rFonts w:cstheme="minorHAnsi"/>
          <w:szCs w:val="24"/>
        </w:rPr>
        <w:br/>
      </w:r>
    </w:p>
    <w:p w14:paraId="63A1B38F" w14:textId="250C5F93" w:rsidR="00B62F71" w:rsidRPr="00626246" w:rsidRDefault="002D69FC" w:rsidP="00B60F59">
      <w:pPr>
        <w:pStyle w:val="Heading2"/>
        <w:numPr>
          <w:ilvl w:val="0"/>
          <w:numId w:val="4"/>
        </w:numPr>
        <w:rPr>
          <w:sz w:val="20"/>
          <w:szCs w:val="20"/>
        </w:rPr>
      </w:pPr>
      <w:bookmarkStart w:id="6" w:name="_Toc97904877"/>
      <w:bookmarkStart w:id="7" w:name="_Toc98150045"/>
      <w:r w:rsidRPr="00626246">
        <w:t>S</w:t>
      </w:r>
      <w:r w:rsidR="00B62F71" w:rsidRPr="00626246">
        <w:t xml:space="preserve">enior </w:t>
      </w:r>
      <w:r w:rsidR="00626246">
        <w:t>M</w:t>
      </w:r>
      <w:r w:rsidR="00B62F71" w:rsidRPr="00626246">
        <w:t>anagement</w:t>
      </w:r>
      <w:bookmarkEnd w:id="6"/>
      <w:bookmarkEnd w:id="7"/>
      <w:r w:rsidR="00B62F71" w:rsidRPr="00626246">
        <w:t xml:space="preserve"> </w:t>
      </w:r>
      <w:r w:rsidR="00626246">
        <w:t>p</w:t>
      </w:r>
      <w:r w:rsidRPr="00626246">
        <w:t xml:space="preserve">ay </w:t>
      </w:r>
      <w:r w:rsidR="00626246">
        <w:t>s</w:t>
      </w:r>
      <w:r w:rsidRPr="00626246">
        <w:t>tructure</w:t>
      </w:r>
    </w:p>
    <w:p w14:paraId="1CD11798" w14:textId="0B6C70F0" w:rsidR="00B62F71" w:rsidRDefault="00B62F71" w:rsidP="007110BB">
      <w:pPr>
        <w:spacing w:after="0" w:line="240" w:lineRule="auto"/>
        <w:rPr>
          <w:rFonts w:cstheme="minorHAnsi"/>
          <w:szCs w:val="24"/>
        </w:rPr>
      </w:pPr>
      <w:r w:rsidRPr="00834D9A">
        <w:rPr>
          <w:rFonts w:cstheme="minorHAnsi"/>
          <w:szCs w:val="24"/>
        </w:rPr>
        <w:t xml:space="preserve">The Council shares a Joint </w:t>
      </w:r>
      <w:r w:rsidR="005F46C8">
        <w:rPr>
          <w:rFonts w:cstheme="minorHAnsi"/>
          <w:szCs w:val="24"/>
        </w:rPr>
        <w:t xml:space="preserve">Management Team </w:t>
      </w:r>
      <w:r w:rsidRPr="00834D9A">
        <w:rPr>
          <w:rFonts w:cstheme="minorHAnsi"/>
          <w:szCs w:val="24"/>
        </w:rPr>
        <w:t>with Waverley Borough Council</w:t>
      </w:r>
      <w:r w:rsidR="005F46C8">
        <w:rPr>
          <w:rFonts w:cstheme="minorHAnsi"/>
          <w:szCs w:val="24"/>
        </w:rPr>
        <w:t>, including a joint Chief Executive (</w:t>
      </w:r>
      <w:r w:rsidRPr="00834D9A">
        <w:rPr>
          <w:rFonts w:cstheme="minorHAnsi"/>
          <w:szCs w:val="24"/>
        </w:rPr>
        <w:t>who is also the joint Head of Paid Service for both Councils</w:t>
      </w:r>
      <w:r w:rsidR="005F46C8">
        <w:rPr>
          <w:rFonts w:cstheme="minorHAnsi"/>
          <w:szCs w:val="24"/>
        </w:rPr>
        <w:t>),</w:t>
      </w:r>
      <w:r w:rsidRPr="00834D9A">
        <w:rPr>
          <w:rFonts w:cstheme="minorHAnsi"/>
          <w:szCs w:val="24"/>
        </w:rPr>
        <w:t xml:space="preserve"> </w:t>
      </w:r>
      <w:r w:rsidR="005F46C8">
        <w:rPr>
          <w:rFonts w:cstheme="minorHAnsi"/>
          <w:szCs w:val="24"/>
        </w:rPr>
        <w:t>Directors and Executive Heads of Service</w:t>
      </w:r>
      <w:r w:rsidRPr="00834D9A">
        <w:rPr>
          <w:rFonts w:cstheme="minorHAnsi"/>
          <w:szCs w:val="24"/>
        </w:rPr>
        <w:t xml:space="preserve">. </w:t>
      </w:r>
      <w:r w:rsidR="00151D14">
        <w:rPr>
          <w:rFonts w:cstheme="minorHAnsi"/>
          <w:szCs w:val="24"/>
        </w:rPr>
        <w:t xml:space="preserve">The Joint </w:t>
      </w:r>
      <w:r w:rsidR="00B67F6B">
        <w:rPr>
          <w:rFonts w:cstheme="minorHAnsi"/>
          <w:szCs w:val="24"/>
        </w:rPr>
        <w:t>M</w:t>
      </w:r>
      <w:r w:rsidR="00151D14">
        <w:rPr>
          <w:rFonts w:cstheme="minorHAnsi"/>
          <w:szCs w:val="24"/>
        </w:rPr>
        <w:t>anagement Team is employed by Waverley Borough Council</w:t>
      </w:r>
      <w:r w:rsidR="00A9642E">
        <w:rPr>
          <w:rFonts w:cstheme="minorHAnsi"/>
          <w:szCs w:val="24"/>
        </w:rPr>
        <w:t>,</w:t>
      </w:r>
      <w:r w:rsidR="00B67F6B">
        <w:rPr>
          <w:rFonts w:cstheme="minorHAnsi"/>
          <w:szCs w:val="24"/>
        </w:rPr>
        <w:t xml:space="preserve"> t</w:t>
      </w:r>
      <w:r w:rsidRPr="00834D9A">
        <w:rPr>
          <w:rFonts w:cstheme="minorHAnsi"/>
          <w:szCs w:val="24"/>
        </w:rPr>
        <w:t>herefore th</w:t>
      </w:r>
      <w:r w:rsidR="005F46C8">
        <w:rPr>
          <w:rFonts w:cstheme="minorHAnsi"/>
          <w:szCs w:val="24"/>
        </w:rPr>
        <w:t>ese roles are not</w:t>
      </w:r>
      <w:r w:rsidRPr="00834D9A">
        <w:rPr>
          <w:rFonts w:cstheme="minorHAnsi"/>
          <w:szCs w:val="24"/>
        </w:rPr>
        <w:t xml:space="preserve"> within this </w:t>
      </w:r>
      <w:r w:rsidR="00A9642E">
        <w:rPr>
          <w:rFonts w:cstheme="minorHAnsi"/>
          <w:szCs w:val="24"/>
        </w:rPr>
        <w:t>C</w:t>
      </w:r>
      <w:r w:rsidRPr="00834D9A">
        <w:rPr>
          <w:rFonts w:cstheme="minorHAnsi"/>
          <w:szCs w:val="24"/>
        </w:rPr>
        <w:t xml:space="preserve">ouncil’s Pay Policy, but </w:t>
      </w:r>
      <w:r w:rsidR="005F46C8">
        <w:rPr>
          <w:rFonts w:cstheme="minorHAnsi"/>
          <w:szCs w:val="24"/>
        </w:rPr>
        <w:t>are</w:t>
      </w:r>
      <w:r w:rsidRPr="00834D9A">
        <w:rPr>
          <w:rFonts w:cstheme="minorHAnsi"/>
          <w:szCs w:val="24"/>
        </w:rPr>
        <w:t xml:space="preserve"> within Waverley’s</w:t>
      </w:r>
      <w:r w:rsidR="004367D7">
        <w:rPr>
          <w:rFonts w:cstheme="minorHAnsi"/>
          <w:szCs w:val="24"/>
        </w:rPr>
        <w:t xml:space="preserve"> </w:t>
      </w:r>
      <w:hyperlink r:id="rId10" w:history="1">
        <w:r w:rsidR="007A5E51" w:rsidRPr="0022303B">
          <w:rPr>
            <w:rStyle w:val="Hyperlink"/>
            <w:rFonts w:cstheme="minorHAnsi"/>
            <w:szCs w:val="24"/>
          </w:rPr>
          <w:t>Senior Management Team</w:t>
        </w:r>
      </w:hyperlink>
      <w:r w:rsidRPr="00834D9A">
        <w:rPr>
          <w:rFonts w:cstheme="minorHAnsi"/>
          <w:szCs w:val="24"/>
        </w:rPr>
        <w:t>. The Joint</w:t>
      </w:r>
      <w:r w:rsidR="00F16D16">
        <w:rPr>
          <w:rFonts w:cstheme="minorHAnsi"/>
          <w:szCs w:val="24"/>
        </w:rPr>
        <w:t xml:space="preserve"> Management Team</w:t>
      </w:r>
      <w:r w:rsidR="00020FB6">
        <w:rPr>
          <w:rFonts w:cstheme="minorHAnsi"/>
          <w:szCs w:val="24"/>
        </w:rPr>
        <w:t>’</w:t>
      </w:r>
      <w:r w:rsidR="00F16D16">
        <w:rPr>
          <w:rFonts w:cstheme="minorHAnsi"/>
          <w:szCs w:val="24"/>
        </w:rPr>
        <w:t>s</w:t>
      </w:r>
      <w:r w:rsidRPr="00834D9A">
        <w:rPr>
          <w:rFonts w:cstheme="minorHAnsi"/>
          <w:szCs w:val="24"/>
        </w:rPr>
        <w:t xml:space="preserve"> terms and conditions of employment are determined by Waverley Borough Council</w:t>
      </w:r>
      <w:r w:rsidR="00020FB6">
        <w:rPr>
          <w:rFonts w:cstheme="minorHAnsi"/>
          <w:szCs w:val="24"/>
        </w:rPr>
        <w:t xml:space="preserve">. The </w:t>
      </w:r>
      <w:r w:rsidRPr="00834D9A">
        <w:rPr>
          <w:rFonts w:cstheme="minorHAnsi"/>
          <w:szCs w:val="24"/>
        </w:rPr>
        <w:t xml:space="preserve">annual pay award </w:t>
      </w:r>
      <w:r w:rsidR="00020FB6">
        <w:rPr>
          <w:rFonts w:cstheme="minorHAnsi"/>
          <w:szCs w:val="24"/>
        </w:rPr>
        <w:t xml:space="preserve">for the Joint Chief Executive </w:t>
      </w:r>
      <w:r w:rsidRPr="00834D9A">
        <w:rPr>
          <w:rFonts w:cstheme="minorHAnsi"/>
          <w:szCs w:val="24"/>
        </w:rPr>
        <w:t xml:space="preserve">is determined by the Joint Appointments Committee. The costs </w:t>
      </w:r>
      <w:r w:rsidR="005F46C8">
        <w:rPr>
          <w:rFonts w:cstheme="minorHAnsi"/>
          <w:szCs w:val="24"/>
        </w:rPr>
        <w:t xml:space="preserve">of the Joint Management Team </w:t>
      </w:r>
      <w:r w:rsidRPr="00834D9A">
        <w:rPr>
          <w:rFonts w:cstheme="minorHAnsi"/>
          <w:szCs w:val="24"/>
        </w:rPr>
        <w:t>are shared across the two councils.  </w:t>
      </w:r>
    </w:p>
    <w:p w14:paraId="5760E726" w14:textId="3B907D03" w:rsidR="00A66DD5" w:rsidRDefault="00A66DD5" w:rsidP="007110BB">
      <w:pPr>
        <w:spacing w:after="0" w:line="240" w:lineRule="auto"/>
        <w:rPr>
          <w:rFonts w:cstheme="minorHAnsi"/>
          <w:szCs w:val="24"/>
        </w:rPr>
      </w:pPr>
    </w:p>
    <w:p w14:paraId="604E15E8" w14:textId="77173A48" w:rsidR="00B62F71" w:rsidRDefault="00A369C6" w:rsidP="007110BB">
      <w:pPr>
        <w:spacing w:after="0" w:line="240" w:lineRule="auto"/>
        <w:rPr>
          <w:rFonts w:cstheme="minorHAnsi"/>
          <w:szCs w:val="24"/>
        </w:rPr>
      </w:pPr>
      <w:r>
        <w:rPr>
          <w:rFonts w:cstheme="minorHAnsi"/>
          <w:szCs w:val="24"/>
        </w:rPr>
        <w:t>O</w:t>
      </w:r>
      <w:r w:rsidR="00B62F71" w:rsidRPr="00834D9A">
        <w:rPr>
          <w:rFonts w:cstheme="minorHAnsi"/>
          <w:szCs w:val="24"/>
        </w:rPr>
        <w:t>ur policy is to make a payment to those management officers</w:t>
      </w:r>
      <w:r>
        <w:rPr>
          <w:rFonts w:cstheme="minorHAnsi"/>
          <w:szCs w:val="24"/>
        </w:rPr>
        <w:t xml:space="preserve"> working within the Council</w:t>
      </w:r>
      <w:r w:rsidR="00297FE9">
        <w:rPr>
          <w:rFonts w:cstheme="minorHAnsi"/>
          <w:szCs w:val="24"/>
        </w:rPr>
        <w:t xml:space="preserve"> who have</w:t>
      </w:r>
      <w:r w:rsidR="00B62F71" w:rsidRPr="00834D9A">
        <w:rPr>
          <w:rFonts w:cstheme="minorHAnsi"/>
          <w:szCs w:val="24"/>
        </w:rPr>
        <w:t xml:space="preserve"> additional responsibilities in respect of statutory roles as follows:</w:t>
      </w:r>
    </w:p>
    <w:p w14:paraId="4456ADAB" w14:textId="77777777" w:rsidR="008F450C" w:rsidRDefault="008F450C" w:rsidP="007110BB">
      <w:pPr>
        <w:spacing w:after="0" w:line="240" w:lineRule="auto"/>
        <w:rPr>
          <w:rFonts w:cstheme="minorHAnsi"/>
          <w:szCs w:val="24"/>
        </w:rPr>
      </w:pPr>
    </w:p>
    <w:p w14:paraId="72CC2980" w14:textId="77777777" w:rsidR="00B62F71" w:rsidRPr="00834D9A" w:rsidRDefault="00B62F71" w:rsidP="007110BB">
      <w:pPr>
        <w:spacing w:after="0" w:line="240" w:lineRule="auto"/>
        <w:rPr>
          <w:rFonts w:cstheme="minorHAnsi"/>
          <w:szCs w:val="24"/>
        </w:rPr>
      </w:pPr>
      <w:r w:rsidRPr="00834D9A">
        <w:rPr>
          <w:rFonts w:cstheme="minorHAnsi"/>
          <w:szCs w:val="24"/>
        </w:rPr>
        <w:t>Deputy Monitoring Officer - £1,500 per annum</w:t>
      </w:r>
    </w:p>
    <w:p w14:paraId="1D6100D3" w14:textId="77777777" w:rsidR="00B62F71" w:rsidRPr="00834D9A" w:rsidRDefault="00B62F71" w:rsidP="007110BB">
      <w:pPr>
        <w:spacing w:after="0" w:line="240" w:lineRule="auto"/>
        <w:rPr>
          <w:rFonts w:cstheme="minorHAnsi"/>
          <w:szCs w:val="24"/>
        </w:rPr>
      </w:pPr>
      <w:r w:rsidRPr="00834D9A">
        <w:rPr>
          <w:rFonts w:cstheme="minorHAnsi"/>
          <w:szCs w:val="24"/>
        </w:rPr>
        <w:t>Deputy Section 151 Officer - £1,500 per annum</w:t>
      </w:r>
    </w:p>
    <w:p w14:paraId="2D6952BB" w14:textId="4C5143AD" w:rsidR="00B62F71" w:rsidRDefault="00B62F71" w:rsidP="007110BB">
      <w:pPr>
        <w:spacing w:after="0" w:line="240" w:lineRule="auto"/>
        <w:rPr>
          <w:rFonts w:cstheme="minorHAnsi"/>
          <w:szCs w:val="24"/>
        </w:rPr>
      </w:pPr>
      <w:r w:rsidRPr="00834D9A">
        <w:rPr>
          <w:rFonts w:cstheme="minorHAnsi"/>
          <w:szCs w:val="24"/>
        </w:rPr>
        <w:t>Data Protection Officer - £3,000 per annum</w:t>
      </w:r>
    </w:p>
    <w:p w14:paraId="649E136B" w14:textId="77777777" w:rsidR="008F450C" w:rsidRPr="00834D9A" w:rsidRDefault="008F450C" w:rsidP="007110BB">
      <w:pPr>
        <w:spacing w:after="0" w:line="240" w:lineRule="auto"/>
        <w:rPr>
          <w:rFonts w:cstheme="minorHAnsi"/>
          <w:szCs w:val="24"/>
        </w:rPr>
      </w:pPr>
    </w:p>
    <w:p w14:paraId="7080B449" w14:textId="289A66C8" w:rsidR="00B62F71" w:rsidRDefault="00B62F71" w:rsidP="007110BB">
      <w:pPr>
        <w:spacing w:after="0" w:line="240" w:lineRule="auto"/>
        <w:rPr>
          <w:rFonts w:cstheme="minorHAnsi"/>
          <w:szCs w:val="24"/>
        </w:rPr>
      </w:pPr>
      <w:r w:rsidRPr="00834D9A">
        <w:rPr>
          <w:rFonts w:cstheme="minorHAnsi"/>
          <w:szCs w:val="24"/>
        </w:rPr>
        <w:t>These payments will not be reduced where there is a requirement for two officers to share the responsibilities of Deputy Monitoring Officer and/or Deputy Section 151 Officer.</w:t>
      </w:r>
    </w:p>
    <w:p w14:paraId="4665BD47" w14:textId="77777777" w:rsidR="001F0E1C" w:rsidRPr="00834D9A" w:rsidRDefault="001F0E1C" w:rsidP="007110BB">
      <w:pPr>
        <w:spacing w:after="0" w:line="240" w:lineRule="auto"/>
        <w:rPr>
          <w:rFonts w:cstheme="minorHAnsi"/>
          <w:szCs w:val="24"/>
        </w:rPr>
      </w:pPr>
    </w:p>
    <w:p w14:paraId="0E327DCD" w14:textId="07FC98E3" w:rsidR="00B62F71" w:rsidRPr="009A6C12" w:rsidRDefault="00B62F71" w:rsidP="00B60F59">
      <w:pPr>
        <w:pStyle w:val="Heading2"/>
        <w:numPr>
          <w:ilvl w:val="0"/>
          <w:numId w:val="4"/>
        </w:numPr>
        <w:rPr>
          <w:sz w:val="20"/>
          <w:szCs w:val="20"/>
        </w:rPr>
      </w:pPr>
      <w:bookmarkStart w:id="8" w:name="_Toc97904878"/>
      <w:bookmarkStart w:id="9" w:name="_Toc98150046"/>
      <w:r w:rsidRPr="00834D9A">
        <w:t>Remuneration of our lowest paid employees</w:t>
      </w:r>
      <w:bookmarkEnd w:id="8"/>
      <w:bookmarkEnd w:id="9"/>
    </w:p>
    <w:p w14:paraId="1CFA8BC1" w14:textId="0D76E704" w:rsidR="00B15D62" w:rsidRPr="00834D9A" w:rsidRDefault="00B62F71" w:rsidP="00B15D62">
      <w:pPr>
        <w:spacing w:after="0" w:line="240" w:lineRule="auto"/>
        <w:rPr>
          <w:rFonts w:cstheme="minorHAnsi"/>
          <w:szCs w:val="24"/>
          <w:lang w:val="en"/>
        </w:rPr>
      </w:pPr>
      <w:r w:rsidRPr="00834D9A">
        <w:rPr>
          <w:rFonts w:cstheme="minorHAnsi"/>
          <w:szCs w:val="24"/>
        </w:rPr>
        <w:t xml:space="preserve">We define our lowest paid employees as those paid on the lowest grade, that is </w:t>
      </w:r>
      <w:r w:rsidRPr="001854BC">
        <w:rPr>
          <w:rFonts w:cstheme="minorHAnsi"/>
          <w:szCs w:val="24"/>
        </w:rPr>
        <w:t>Band 1, of the Council’s pay and grading structure, currently starting at £</w:t>
      </w:r>
      <w:r w:rsidR="00A631B5" w:rsidRPr="001854BC">
        <w:rPr>
          <w:rFonts w:cstheme="minorHAnsi"/>
          <w:szCs w:val="24"/>
        </w:rPr>
        <w:t>20</w:t>
      </w:r>
      <w:r w:rsidRPr="001854BC">
        <w:rPr>
          <w:rFonts w:cstheme="minorHAnsi"/>
          <w:szCs w:val="24"/>
        </w:rPr>
        <w:t>,</w:t>
      </w:r>
      <w:r w:rsidR="00A631B5" w:rsidRPr="001854BC">
        <w:rPr>
          <w:rFonts w:cstheme="minorHAnsi"/>
          <w:szCs w:val="24"/>
        </w:rPr>
        <w:t xml:space="preserve">324 </w:t>
      </w:r>
      <w:r w:rsidRPr="001854BC">
        <w:rPr>
          <w:rFonts w:cstheme="minorHAnsi"/>
          <w:szCs w:val="24"/>
        </w:rPr>
        <w:t xml:space="preserve">per </w:t>
      </w:r>
      <w:r w:rsidRPr="00834D9A">
        <w:rPr>
          <w:rFonts w:cstheme="minorHAnsi"/>
          <w:szCs w:val="24"/>
        </w:rPr>
        <w:t xml:space="preserve">annum.  </w:t>
      </w:r>
      <w:r w:rsidR="00B15D62" w:rsidRPr="00834D9A">
        <w:rPr>
          <w:rFonts w:cstheme="minorHAnsi"/>
          <w:szCs w:val="24"/>
          <w:lang w:val="en"/>
        </w:rPr>
        <w:t xml:space="preserve">We </w:t>
      </w:r>
      <w:r w:rsidR="00B15D62">
        <w:rPr>
          <w:rFonts w:cstheme="minorHAnsi"/>
          <w:szCs w:val="24"/>
          <w:lang w:val="en"/>
        </w:rPr>
        <w:t>pay</w:t>
      </w:r>
      <w:r w:rsidR="00B15D62" w:rsidRPr="00834D9A">
        <w:rPr>
          <w:rFonts w:cstheme="minorHAnsi"/>
          <w:szCs w:val="24"/>
          <w:lang w:val="en"/>
        </w:rPr>
        <w:t xml:space="preserve"> above the Real Living Wage (for outside London) at the bottom of our pay scale.</w:t>
      </w:r>
    </w:p>
    <w:p w14:paraId="18AF9802" w14:textId="52D01A8B" w:rsidR="00B62F71" w:rsidRPr="00834D9A" w:rsidRDefault="00B62F71" w:rsidP="007110BB">
      <w:pPr>
        <w:spacing w:after="0" w:line="240" w:lineRule="auto"/>
        <w:rPr>
          <w:rFonts w:cstheme="minorHAnsi"/>
          <w:szCs w:val="24"/>
        </w:rPr>
      </w:pPr>
    </w:p>
    <w:p w14:paraId="2677B263" w14:textId="42FA5272" w:rsidR="009A6C12" w:rsidRPr="0067554B" w:rsidRDefault="00B62F71" w:rsidP="0067554B">
      <w:pPr>
        <w:pStyle w:val="Heading2"/>
        <w:numPr>
          <w:ilvl w:val="0"/>
          <w:numId w:val="4"/>
        </w:numPr>
      </w:pPr>
      <w:bookmarkStart w:id="10" w:name="_Toc97904879"/>
      <w:bookmarkStart w:id="11" w:name="_Toc98150047"/>
      <w:r w:rsidRPr="00834D9A">
        <w:t>Pay relationships</w:t>
      </w:r>
      <w:bookmarkEnd w:id="10"/>
      <w:bookmarkEnd w:id="11"/>
    </w:p>
    <w:p w14:paraId="58C506E7" w14:textId="6C1EDD6D" w:rsidR="00B62F71" w:rsidRDefault="00B62F71" w:rsidP="009A6C12">
      <w:pPr>
        <w:spacing w:after="0" w:line="240" w:lineRule="auto"/>
        <w:rPr>
          <w:rFonts w:cstheme="minorHAnsi"/>
          <w:szCs w:val="24"/>
        </w:rPr>
      </w:pPr>
      <w:bookmarkStart w:id="12" w:name="_Hlk58594269"/>
      <w:r w:rsidRPr="00834D9A">
        <w:rPr>
          <w:rFonts w:cstheme="minorHAnsi"/>
          <w:szCs w:val="24"/>
        </w:rPr>
        <w:t xml:space="preserve">This section sets out our overall approach to ensuring pay levels are fairly and appropriately dispersed across the organisation including the Council’s current pay multiple.  The ‘pay multiple’ is the ratio between the highest paid salary and the median average salary of our workforce. </w:t>
      </w:r>
    </w:p>
    <w:p w14:paraId="5175A2DA" w14:textId="77777777" w:rsidR="009A6C12" w:rsidRPr="00834D9A" w:rsidRDefault="009A6C12" w:rsidP="009A6C12">
      <w:pPr>
        <w:spacing w:after="0" w:line="240" w:lineRule="auto"/>
        <w:rPr>
          <w:rFonts w:cstheme="minorHAnsi"/>
          <w:szCs w:val="24"/>
        </w:rPr>
      </w:pPr>
    </w:p>
    <w:p w14:paraId="2862DE76" w14:textId="78C76FB8" w:rsidR="00B62F71" w:rsidRPr="00834D9A" w:rsidRDefault="00B62F71" w:rsidP="00C34A0E">
      <w:pPr>
        <w:spacing w:after="0" w:line="240" w:lineRule="auto"/>
        <w:rPr>
          <w:rFonts w:cstheme="minorHAnsi"/>
          <w:szCs w:val="24"/>
        </w:rPr>
      </w:pPr>
      <w:r w:rsidRPr="00834D9A">
        <w:rPr>
          <w:rFonts w:cstheme="minorHAnsi"/>
          <w:szCs w:val="24"/>
        </w:rPr>
        <w:t xml:space="preserve">The Council’s current pay multiple (as </w:t>
      </w:r>
      <w:proofErr w:type="gramStart"/>
      <w:r w:rsidRPr="00834D9A">
        <w:rPr>
          <w:rFonts w:cstheme="minorHAnsi"/>
          <w:szCs w:val="24"/>
        </w:rPr>
        <w:t>at</w:t>
      </w:r>
      <w:proofErr w:type="gramEnd"/>
      <w:r w:rsidRPr="00834D9A">
        <w:rPr>
          <w:rFonts w:cstheme="minorHAnsi"/>
          <w:szCs w:val="24"/>
        </w:rPr>
        <w:t xml:space="preserve"> </w:t>
      </w:r>
      <w:r w:rsidR="008B58E9">
        <w:rPr>
          <w:rFonts w:cstheme="minorHAnsi"/>
          <w:szCs w:val="24"/>
        </w:rPr>
        <w:t>October 2022</w:t>
      </w:r>
      <w:r w:rsidRPr="00834D9A">
        <w:rPr>
          <w:rFonts w:cstheme="minorHAnsi"/>
          <w:szCs w:val="24"/>
        </w:rPr>
        <w:t xml:space="preserve">) is 1: </w:t>
      </w:r>
      <w:bookmarkEnd w:id="12"/>
      <w:r w:rsidR="00543BA6">
        <w:rPr>
          <w:rFonts w:cstheme="minorHAnsi"/>
          <w:szCs w:val="24"/>
        </w:rPr>
        <w:t>2.57</w:t>
      </w:r>
      <w:r w:rsidR="00A9642E">
        <w:rPr>
          <w:rFonts w:cstheme="minorHAnsi"/>
          <w:szCs w:val="24"/>
        </w:rPr>
        <w:t>.</w:t>
      </w:r>
    </w:p>
    <w:p w14:paraId="291D6E97" w14:textId="77777777" w:rsidR="0088193F" w:rsidRPr="00C34A0E" w:rsidRDefault="00B62F71" w:rsidP="00C34A0E">
      <w:pPr>
        <w:spacing w:line="240" w:lineRule="auto"/>
        <w:rPr>
          <w:rFonts w:eastAsiaTheme="minorHAnsi"/>
          <w:sz w:val="22"/>
        </w:rPr>
      </w:pPr>
      <w:r w:rsidRPr="00834D9A">
        <w:rPr>
          <w:rFonts w:cstheme="minorHAnsi"/>
          <w:szCs w:val="24"/>
        </w:rPr>
        <w:t>We consider that the current pay multiple, as identified above, represents an appropriate, fair and equitable internal pay relationship between the highest salary and that which applies to the rest of the workforce</w:t>
      </w:r>
      <w:r w:rsidRPr="002240B9">
        <w:rPr>
          <w:rFonts w:cstheme="minorHAnsi"/>
          <w:szCs w:val="24"/>
        </w:rPr>
        <w:t>.</w:t>
      </w:r>
      <w:r w:rsidR="002240B9" w:rsidRPr="002240B9">
        <w:t xml:space="preserve"> </w:t>
      </w:r>
      <w:r w:rsidR="0088193F" w:rsidRPr="00C34A0E">
        <w:t>Our ratio is lower than in previous years, due to the most senior management posts being employed by Waverley Borough Council.</w:t>
      </w:r>
    </w:p>
    <w:p w14:paraId="0A161D84" w14:textId="2D56AA32" w:rsidR="00B62F71" w:rsidRDefault="00B62F71" w:rsidP="00B60F59">
      <w:pPr>
        <w:pStyle w:val="Heading2"/>
        <w:numPr>
          <w:ilvl w:val="0"/>
          <w:numId w:val="4"/>
        </w:numPr>
      </w:pPr>
      <w:bookmarkStart w:id="13" w:name="_Toc97904880"/>
      <w:bookmarkStart w:id="14" w:name="_Toc98150048"/>
      <w:r w:rsidRPr="00834D9A">
        <w:t xml:space="preserve">Remuneration on appointment </w:t>
      </w:r>
      <w:r w:rsidR="00C669CC">
        <w:t>and re-appointment</w:t>
      </w:r>
      <w:r w:rsidRPr="00834D9A">
        <w:t xml:space="preserve"> </w:t>
      </w:r>
      <w:bookmarkEnd w:id="13"/>
      <w:bookmarkEnd w:id="14"/>
    </w:p>
    <w:p w14:paraId="385A01DB" w14:textId="728EE620" w:rsidR="00B62F71" w:rsidRPr="00834D9A" w:rsidRDefault="00B62F71" w:rsidP="00D27BE2">
      <w:pPr>
        <w:spacing w:line="240" w:lineRule="auto"/>
        <w:rPr>
          <w:rFonts w:cstheme="minorHAnsi"/>
          <w:szCs w:val="24"/>
        </w:rPr>
      </w:pPr>
      <w:r w:rsidRPr="00834D9A">
        <w:rPr>
          <w:rFonts w:cstheme="minorHAnsi"/>
          <w:szCs w:val="24"/>
        </w:rPr>
        <w:t xml:space="preserve">All newly appointed staff normally start on the lowest point in the pay range for their job evaluated post. Successful candidates may be appointed at a higher point, where it is considered that they already possess the skills and experience needed to justify a higher salary. </w:t>
      </w:r>
    </w:p>
    <w:p w14:paraId="038C9A6F" w14:textId="3312D25F" w:rsidR="009D30C1" w:rsidRDefault="009D30C1" w:rsidP="009D30C1">
      <w:pPr>
        <w:tabs>
          <w:tab w:val="left" w:pos="567"/>
        </w:tabs>
        <w:spacing w:after="0" w:line="240" w:lineRule="auto"/>
        <w:rPr>
          <w:rFonts w:cstheme="minorHAnsi"/>
          <w:szCs w:val="24"/>
        </w:rPr>
      </w:pPr>
      <w:r w:rsidRPr="00834D9A">
        <w:rPr>
          <w:rFonts w:cstheme="minorHAnsi"/>
          <w:szCs w:val="24"/>
        </w:rPr>
        <w:t xml:space="preserve">Any proposal to offer a new senior appointment on terms and conditions which include a total remuneration package of £100,000 or more, including salary, fees, allowances and any benefits in kind to which the officer would be entitled </w:t>
      </w:r>
      <w:proofErr w:type="gramStart"/>
      <w:r w:rsidRPr="00834D9A">
        <w:rPr>
          <w:rFonts w:cstheme="minorHAnsi"/>
          <w:szCs w:val="24"/>
        </w:rPr>
        <w:t>as a result of</w:t>
      </w:r>
      <w:proofErr w:type="gramEnd"/>
      <w:r w:rsidRPr="00834D9A">
        <w:rPr>
          <w:rFonts w:cstheme="minorHAnsi"/>
          <w:szCs w:val="24"/>
        </w:rPr>
        <w:t xml:space="preserve"> their employment (but excluding employer’s pension contributions), will be referred to the Council for approval.  This will be before any offer is made to a particular candidate.  </w:t>
      </w:r>
    </w:p>
    <w:p w14:paraId="2305AFB1" w14:textId="77777777" w:rsidR="00FF0D6E" w:rsidRDefault="00FF0D6E" w:rsidP="009D30C1">
      <w:pPr>
        <w:tabs>
          <w:tab w:val="left" w:pos="567"/>
        </w:tabs>
        <w:spacing w:after="0" w:line="240" w:lineRule="auto"/>
        <w:rPr>
          <w:rFonts w:cstheme="minorHAnsi"/>
          <w:szCs w:val="24"/>
        </w:rPr>
      </w:pPr>
    </w:p>
    <w:p w14:paraId="499FD6A4" w14:textId="6C75FCD0" w:rsidR="009D30C1" w:rsidRDefault="0060374C" w:rsidP="009D30C1">
      <w:pPr>
        <w:tabs>
          <w:tab w:val="left" w:pos="567"/>
        </w:tabs>
        <w:spacing w:after="0" w:line="240" w:lineRule="auto"/>
      </w:pPr>
      <w:r>
        <w:t>F</w:t>
      </w:r>
      <w:r w:rsidR="00F36D46">
        <w:t>ormer employee</w:t>
      </w:r>
      <w:r>
        <w:t>s</w:t>
      </w:r>
      <w:r w:rsidR="00F36D46">
        <w:t xml:space="preserve"> in receipt of a LGPS pension or a redundancy payment </w:t>
      </w:r>
      <w:r>
        <w:t>may be</w:t>
      </w:r>
      <w:r w:rsidR="00F36D46">
        <w:t xml:space="preserve"> re-employed by the Authority.</w:t>
      </w:r>
      <w:r w:rsidR="0023380A">
        <w:t xml:space="preserve"> </w:t>
      </w:r>
      <w:r w:rsidR="00F36D46">
        <w:t xml:space="preserve"> </w:t>
      </w:r>
      <w:r w:rsidR="00FF0D6E">
        <w:t xml:space="preserve">If a former employee leaves the Authority by reason of redundancy the individual cannot be reappointed to their </w:t>
      </w:r>
      <w:r w:rsidR="0037145B">
        <w:t xml:space="preserve">former </w:t>
      </w:r>
      <w:r w:rsidR="00FF0D6E">
        <w:t xml:space="preserve">post as it will not exist. </w:t>
      </w:r>
      <w:r w:rsidR="001015EF">
        <w:t xml:space="preserve">Following redundancy, the employee must </w:t>
      </w:r>
      <w:r w:rsidR="000E39AF">
        <w:t xml:space="preserve">have a break in </w:t>
      </w:r>
      <w:r w:rsidR="006A1FB6">
        <w:t xml:space="preserve">local government </w:t>
      </w:r>
      <w:r w:rsidR="000E39AF">
        <w:t xml:space="preserve">employment of </w:t>
      </w:r>
      <w:r w:rsidR="00A9642E">
        <w:t>four weeks</w:t>
      </w:r>
      <w:r w:rsidR="006A1FB6">
        <w:t xml:space="preserve"> otherwise </w:t>
      </w:r>
      <w:r w:rsidR="007E2CB7">
        <w:t>we</w:t>
      </w:r>
      <w:r w:rsidR="00FF0D6E">
        <w:t xml:space="preserve"> </w:t>
      </w:r>
      <w:r w:rsidR="00A9642E">
        <w:t>may</w:t>
      </w:r>
      <w:r w:rsidR="00FF0D6E">
        <w:t xml:space="preserve"> apply the provisions of the Redundancy Payments (Continuity of Employment in Local Government, etc.) (Modification) Order 1999 regarding the recovery of redundancy payments wher</w:t>
      </w:r>
      <w:r w:rsidR="005221FC">
        <w:t xml:space="preserve">e </w:t>
      </w:r>
      <w:r w:rsidR="00FF0D6E">
        <w:t>appropriate</w:t>
      </w:r>
      <w:r w:rsidR="007E2CB7">
        <w:t>.</w:t>
      </w:r>
    </w:p>
    <w:p w14:paraId="62B3E049" w14:textId="77777777" w:rsidR="007E2CB7" w:rsidRPr="00834D9A" w:rsidRDefault="007E2CB7" w:rsidP="009D30C1">
      <w:pPr>
        <w:tabs>
          <w:tab w:val="left" w:pos="567"/>
        </w:tabs>
        <w:spacing w:after="0" w:line="240" w:lineRule="auto"/>
        <w:rPr>
          <w:rFonts w:cstheme="minorHAnsi"/>
          <w:szCs w:val="24"/>
        </w:rPr>
      </w:pPr>
    </w:p>
    <w:p w14:paraId="171AEF4A" w14:textId="249F7C5C" w:rsidR="00B62F71" w:rsidRDefault="00B62F71" w:rsidP="007110BB">
      <w:pPr>
        <w:spacing w:after="0" w:line="240" w:lineRule="auto"/>
        <w:rPr>
          <w:rFonts w:cstheme="minorHAnsi"/>
          <w:szCs w:val="24"/>
        </w:rPr>
      </w:pPr>
      <w:proofErr w:type="gramStart"/>
      <w:r w:rsidRPr="00834D9A">
        <w:rPr>
          <w:rFonts w:cstheme="minorHAnsi"/>
          <w:szCs w:val="24"/>
        </w:rPr>
        <w:t>In the event that</w:t>
      </w:r>
      <w:proofErr w:type="gramEnd"/>
      <w:r w:rsidRPr="00834D9A">
        <w:rPr>
          <w:rFonts w:cstheme="minorHAnsi"/>
          <w:szCs w:val="24"/>
        </w:rPr>
        <w:t xml:space="preserve"> we employ a senior manager who is already in receipt of a pension under the LGPS, the rules on abatement of pensions adopted by the Council’s Administering Authority for the LGPS, pursuant to Regulations 70 and 71 of the Local Government Pension Scheme (Administration) Regulations 2008 must be applied.  These currently provide that there will be no abatement of pension in these circumstances.  </w:t>
      </w:r>
    </w:p>
    <w:p w14:paraId="3129A7B2" w14:textId="77777777" w:rsidR="00D27BE2" w:rsidRPr="00834D9A" w:rsidRDefault="00D27BE2" w:rsidP="007110BB">
      <w:pPr>
        <w:spacing w:after="0" w:line="240" w:lineRule="auto"/>
        <w:rPr>
          <w:rFonts w:cstheme="minorHAnsi"/>
          <w:szCs w:val="24"/>
        </w:rPr>
      </w:pPr>
    </w:p>
    <w:p w14:paraId="131B3582" w14:textId="1AC198C5" w:rsidR="001475FE" w:rsidRPr="0067554B" w:rsidRDefault="00B62F71" w:rsidP="0067554B">
      <w:pPr>
        <w:pStyle w:val="Heading2"/>
        <w:numPr>
          <w:ilvl w:val="0"/>
          <w:numId w:val="4"/>
        </w:numPr>
      </w:pPr>
      <w:bookmarkStart w:id="15" w:name="_Toc97904882"/>
      <w:bookmarkStart w:id="16" w:name="_Toc98150050"/>
      <w:r w:rsidRPr="00834D9A">
        <w:t>Payment upon termination of employmen</w:t>
      </w:r>
      <w:bookmarkEnd w:id="15"/>
      <w:bookmarkEnd w:id="16"/>
      <w:r w:rsidR="00AA1854">
        <w:t>t</w:t>
      </w:r>
    </w:p>
    <w:p w14:paraId="274EB3F4" w14:textId="762F25F3" w:rsidR="00B62F71" w:rsidRDefault="00B62F71" w:rsidP="007110BB">
      <w:pPr>
        <w:spacing w:after="0" w:line="240" w:lineRule="auto"/>
      </w:pPr>
      <w:r w:rsidRPr="00834D9A">
        <w:t xml:space="preserve">Any termination or severance payment we make to any of our employees (in the interests of efficiency of the service or on grounds of redundancy) will be made in accordance with the statutory terms under the Local Government Pension Scheme (LGPS) or the Local Government (Early Termination of Employment) (Discretionary Compensation) (England and Wales) Regulations 2006, as applicable. </w:t>
      </w:r>
      <w:r w:rsidR="0037145B">
        <w:t xml:space="preserve"> </w:t>
      </w:r>
      <w:r w:rsidRPr="00834D9A">
        <w:t>Statements of policy on the exercise of discretions within the LGPS and the Discretionary Compensation Regulations do not amount to any contractual commitment to individual employees on future severance payments.</w:t>
      </w:r>
    </w:p>
    <w:p w14:paraId="0AB205C8" w14:textId="6A947650" w:rsidR="00637651" w:rsidRDefault="00637651" w:rsidP="007110BB">
      <w:pPr>
        <w:spacing w:after="0" w:line="240" w:lineRule="auto"/>
      </w:pPr>
    </w:p>
    <w:p w14:paraId="12FCD285" w14:textId="77777777" w:rsidR="00A9642E" w:rsidRPr="00A9642E" w:rsidRDefault="00A9642E" w:rsidP="00BD42AF">
      <w:pPr>
        <w:pStyle w:val="Heading3"/>
        <w:rPr>
          <w:rFonts w:eastAsia="Times New Roman"/>
          <w:b w:val="0"/>
        </w:rPr>
      </w:pPr>
      <w:r w:rsidRPr="00A9642E">
        <w:rPr>
          <w:rFonts w:eastAsia="Times New Roman"/>
        </w:rPr>
        <w:t>Termination payments</w:t>
      </w:r>
    </w:p>
    <w:p w14:paraId="484D49B1" w14:textId="49785555" w:rsidR="00E56315" w:rsidRPr="00E814E7" w:rsidRDefault="00E56315" w:rsidP="00E56315">
      <w:pPr>
        <w:spacing w:after="0" w:line="240" w:lineRule="auto"/>
        <w:ind w:right="-291"/>
        <w:contextualSpacing/>
        <w:rPr>
          <w:rFonts w:eastAsia="Times New Roman" w:cstheme="minorHAnsi"/>
          <w:color w:val="000000"/>
          <w:szCs w:val="24"/>
        </w:rPr>
      </w:pPr>
      <w:r w:rsidRPr="00EA0F94">
        <w:rPr>
          <w:rFonts w:eastAsia="Times New Roman" w:cstheme="minorHAnsi"/>
          <w:color w:val="000000"/>
          <w:szCs w:val="24"/>
        </w:rPr>
        <w:t xml:space="preserve">In accordance with the </w:t>
      </w:r>
      <w:r w:rsidR="00F44AA8" w:rsidRPr="002374AB">
        <w:rPr>
          <w:rFonts w:eastAsia="Times New Roman" w:cstheme="minorHAnsi"/>
          <w:color w:val="000000"/>
          <w:szCs w:val="24"/>
        </w:rPr>
        <w:t xml:space="preserve">(former) Department for Communities and Local Government supplemental statutory guidance </w:t>
      </w:r>
      <w:r w:rsidR="00A9642E" w:rsidRPr="002374AB">
        <w:rPr>
          <w:rFonts w:eastAsia="Times New Roman" w:cstheme="minorHAnsi"/>
          <w:color w:val="000000"/>
          <w:szCs w:val="24"/>
        </w:rPr>
        <w:t xml:space="preserve">issued </w:t>
      </w:r>
      <w:r w:rsidR="00F44AA8" w:rsidRPr="002374AB">
        <w:rPr>
          <w:rFonts w:eastAsia="Times New Roman" w:cstheme="minorHAnsi"/>
          <w:color w:val="000000"/>
          <w:szCs w:val="24"/>
        </w:rPr>
        <w:t>in February 2013 titled ‘Openness and accountability in local pay: Guidance under section 40 of the Localism Act 2011’</w:t>
      </w:r>
      <w:r w:rsidRPr="00E814E7">
        <w:rPr>
          <w:rFonts w:eastAsia="Times New Roman" w:cstheme="minorHAnsi"/>
          <w:color w:val="000000"/>
          <w:szCs w:val="24"/>
        </w:rPr>
        <w:t xml:space="preserve"> </w:t>
      </w:r>
    </w:p>
    <w:p w14:paraId="5810EB82" w14:textId="309D3717" w:rsidR="00E56315" w:rsidRPr="00EA0F94" w:rsidRDefault="00EA0F94" w:rsidP="00E56315">
      <w:pPr>
        <w:tabs>
          <w:tab w:val="left" w:pos="567"/>
        </w:tabs>
        <w:spacing w:after="0" w:line="240" w:lineRule="auto"/>
        <w:rPr>
          <w:rFonts w:cstheme="minorHAnsi"/>
          <w:szCs w:val="24"/>
        </w:rPr>
      </w:pPr>
      <w:r w:rsidRPr="00EA0F94">
        <w:rPr>
          <w:rFonts w:cstheme="minorHAnsi"/>
          <w:color w:val="000000"/>
          <w:szCs w:val="24"/>
        </w:rPr>
        <w:t>a</w:t>
      </w:r>
      <w:r w:rsidR="00E56315" w:rsidRPr="00EA0F94">
        <w:rPr>
          <w:rFonts w:cstheme="minorHAnsi"/>
          <w:color w:val="000000"/>
          <w:szCs w:val="24"/>
        </w:rPr>
        <w:t xml:space="preserve">ny proposal to make a termination payment </w:t>
      </w:r>
      <w:r w:rsidR="00A9642E">
        <w:rPr>
          <w:rFonts w:cstheme="minorHAnsi"/>
          <w:color w:val="000000"/>
          <w:szCs w:val="24"/>
        </w:rPr>
        <w:t>of</w:t>
      </w:r>
      <w:r w:rsidR="00E56315" w:rsidRPr="00EA0F94">
        <w:rPr>
          <w:rFonts w:cstheme="minorHAnsi"/>
          <w:color w:val="000000"/>
          <w:szCs w:val="24"/>
        </w:rPr>
        <w:t xml:space="preserve"> £100,000 </w:t>
      </w:r>
      <w:r w:rsidR="00A9642E">
        <w:rPr>
          <w:rFonts w:cstheme="minorHAnsi"/>
          <w:color w:val="000000"/>
          <w:szCs w:val="24"/>
        </w:rPr>
        <w:t xml:space="preserve">or more </w:t>
      </w:r>
      <w:r w:rsidR="00E56315" w:rsidRPr="00EA0F94">
        <w:rPr>
          <w:rFonts w:cstheme="minorHAnsi"/>
          <w:color w:val="000000"/>
          <w:szCs w:val="24"/>
        </w:rPr>
        <w:t xml:space="preserve">will be referred to the Council for approval and will only be agreed in exceptional circumstances. In the event of such a payment being proposed, a detailed breakdown of the components (for example redundancy pay, pension, pension strain, severance payment) will be provided for councillors. </w:t>
      </w:r>
    </w:p>
    <w:p w14:paraId="5BE26141" w14:textId="77777777" w:rsidR="002374AB" w:rsidRDefault="002374AB" w:rsidP="001D0EAE">
      <w:pPr>
        <w:spacing w:after="0" w:line="240" w:lineRule="auto"/>
      </w:pPr>
    </w:p>
    <w:p w14:paraId="22639C4C" w14:textId="77777777" w:rsidR="00A9642E" w:rsidRDefault="00A9642E" w:rsidP="00BD42AF">
      <w:pPr>
        <w:pStyle w:val="Heading3"/>
      </w:pPr>
      <w:r w:rsidRPr="00A9642E">
        <w:t>Special Severance Payment</w:t>
      </w:r>
    </w:p>
    <w:p w14:paraId="2D989E36" w14:textId="34A4692C" w:rsidR="00A9642E" w:rsidRPr="00F132C7" w:rsidRDefault="00A9642E" w:rsidP="00A9642E">
      <w:pPr>
        <w:spacing w:after="0" w:line="240" w:lineRule="auto"/>
        <w:rPr>
          <w:rFonts w:ascii="Arial" w:eastAsia="Times New Roman" w:hAnsi="Arial" w:cs="Arial"/>
          <w:color w:val="0B0C0C"/>
          <w:sz w:val="29"/>
          <w:szCs w:val="29"/>
          <w:lang w:eastAsia="en-GB"/>
        </w:rPr>
      </w:pPr>
      <w:r w:rsidRPr="00F132C7">
        <w:rPr>
          <w:rFonts w:eastAsia="Times New Roman" w:cstheme="minorHAnsi"/>
          <w:color w:val="0B0C0C"/>
          <w:szCs w:val="24"/>
          <w:lang w:eastAsia="en-GB"/>
        </w:rPr>
        <w:t>S</w:t>
      </w:r>
      <w:r>
        <w:rPr>
          <w:rFonts w:eastAsia="Times New Roman" w:cstheme="minorHAnsi"/>
          <w:color w:val="0B0C0C"/>
          <w:szCs w:val="24"/>
          <w:lang w:eastAsia="en-GB"/>
        </w:rPr>
        <w:t xml:space="preserve">pecial Severance Payments are </w:t>
      </w:r>
      <w:r w:rsidRPr="00F132C7">
        <w:rPr>
          <w:rFonts w:eastAsia="Times New Roman" w:cstheme="minorHAnsi"/>
          <w:color w:val="0B0C0C"/>
          <w:szCs w:val="24"/>
          <w:lang w:eastAsia="en-GB"/>
        </w:rPr>
        <w:t xml:space="preserve">payments reached under a settlement agreement </w:t>
      </w:r>
      <w:r>
        <w:rPr>
          <w:rFonts w:eastAsia="Times New Roman" w:cstheme="minorHAnsi"/>
          <w:color w:val="0B0C0C"/>
          <w:szCs w:val="24"/>
          <w:lang w:eastAsia="en-GB"/>
        </w:rPr>
        <w:t xml:space="preserve">which are payments in lieu of notice, payment in addition to the entitlement set out in our </w:t>
      </w:r>
      <w:r w:rsidRPr="00834D9A">
        <w:t>polic</w:t>
      </w:r>
      <w:r>
        <w:t>ies</w:t>
      </w:r>
      <w:r w:rsidRPr="00834D9A">
        <w:t xml:space="preserve"> on the exercise of discretions within the LGPS and the Discretionary Compensation Regulations</w:t>
      </w:r>
      <w:r>
        <w:rPr>
          <w:rFonts w:eastAsia="Times New Roman" w:cstheme="minorHAnsi"/>
          <w:color w:val="0B0C0C"/>
          <w:szCs w:val="24"/>
          <w:lang w:eastAsia="en-GB"/>
        </w:rPr>
        <w:t xml:space="preserve">, or the value of any employee benefits which are allowed to continue beyond the employee’s agreed exit date.  Special Severance payments </w:t>
      </w:r>
      <w:r>
        <w:rPr>
          <w:rFonts w:eastAsia="Times New Roman" w:cstheme="minorHAnsi"/>
          <w:color w:val="0B0C0C"/>
          <w:szCs w:val="24"/>
          <w:lang w:eastAsia="en-GB"/>
        </w:rPr>
        <w:lastRenderedPageBreak/>
        <w:t xml:space="preserve">do not include contractual redundancy pay, payment for untaken leave, pension strain costs or payments made as part of the ACAS early conciliation process. </w:t>
      </w:r>
    </w:p>
    <w:p w14:paraId="0DFD1CAE" w14:textId="626FC4E2" w:rsidR="00B70A83" w:rsidRDefault="00002F5E" w:rsidP="001D0EAE">
      <w:pPr>
        <w:spacing w:after="0" w:line="240" w:lineRule="auto"/>
      </w:pPr>
      <w:r>
        <w:t xml:space="preserve">In accordance with the </w:t>
      </w:r>
      <w:r w:rsidR="004C433F">
        <w:t>relevant provisions</w:t>
      </w:r>
      <w:r w:rsidR="00690D90">
        <w:t xml:space="preserve"> of the </w:t>
      </w:r>
      <w:r w:rsidR="00AF562E">
        <w:t>s</w:t>
      </w:r>
      <w:r w:rsidR="00690D90">
        <w:t>tatutory guidance on the making and disclosure of Special Severance Payments by local authorities in England, which was published on 12 May 2022</w:t>
      </w:r>
      <w:r w:rsidR="00B70A83">
        <w:t>:</w:t>
      </w:r>
    </w:p>
    <w:p w14:paraId="74E0F18F" w14:textId="77777777" w:rsidR="00A9642E" w:rsidRDefault="00A9642E" w:rsidP="001D0EAE">
      <w:pPr>
        <w:spacing w:after="0" w:line="240" w:lineRule="auto"/>
      </w:pPr>
    </w:p>
    <w:p w14:paraId="0F1E0A3C" w14:textId="1ABBCFD9" w:rsidR="00B70A83" w:rsidRDefault="006D6DD6" w:rsidP="00B60F59">
      <w:pPr>
        <w:pStyle w:val="ListParagraph"/>
        <w:numPr>
          <w:ilvl w:val="0"/>
          <w:numId w:val="3"/>
        </w:numPr>
        <w:spacing w:after="0" w:line="240" w:lineRule="auto"/>
      </w:pPr>
      <w:r>
        <w:t xml:space="preserve">any </w:t>
      </w:r>
      <w:r w:rsidR="00A57D8D">
        <w:t>Special Severance Payment</w:t>
      </w:r>
      <w:r w:rsidR="00F17473">
        <w:t xml:space="preserve"> of £100,000 or more must be approved by full Co</w:t>
      </w:r>
      <w:r w:rsidR="00B66418">
        <w:t>uncil</w:t>
      </w:r>
      <w:r w:rsidR="001D0EAE">
        <w:t xml:space="preserve">. </w:t>
      </w:r>
    </w:p>
    <w:p w14:paraId="097AFB2D" w14:textId="0EBD9F11" w:rsidR="00B70A83" w:rsidRPr="00B70A83" w:rsidRDefault="00B70A83" w:rsidP="00B60F59">
      <w:pPr>
        <w:pStyle w:val="ListParagraph"/>
        <w:numPr>
          <w:ilvl w:val="0"/>
          <w:numId w:val="3"/>
        </w:numPr>
        <w:spacing w:after="0" w:line="240" w:lineRule="auto"/>
        <w:rPr>
          <w:rFonts w:eastAsiaTheme="minorHAnsi"/>
          <w:sz w:val="22"/>
        </w:rPr>
      </w:pPr>
      <w:r>
        <w:t>f</w:t>
      </w:r>
      <w:r w:rsidR="00256921">
        <w:t>or all post</w:t>
      </w:r>
      <w:r w:rsidR="00380777">
        <w:t>s below Director level p</w:t>
      </w:r>
      <w:r w:rsidR="00F359EE">
        <w:t xml:space="preserve">ayments </w:t>
      </w:r>
      <w:r w:rsidR="003019A1">
        <w:t>below</w:t>
      </w:r>
      <w:r w:rsidR="00F359EE">
        <w:t xml:space="preserve"> £100,000 </w:t>
      </w:r>
      <w:r w:rsidR="00FD35C7">
        <w:t>must be approved</w:t>
      </w:r>
      <w:r w:rsidR="00F359EE">
        <w:t xml:space="preserve"> by the Head of Paid Service </w:t>
      </w:r>
      <w:r w:rsidR="00F668F4">
        <w:t>in con</w:t>
      </w:r>
      <w:r w:rsidR="00CB3D35">
        <w:t>sul</w:t>
      </w:r>
      <w:r w:rsidR="001D14BC">
        <w:t>t</w:t>
      </w:r>
      <w:r w:rsidR="00CB3D35">
        <w:t>ation</w:t>
      </w:r>
      <w:r w:rsidR="00F668F4">
        <w:t xml:space="preserve"> with the </w:t>
      </w:r>
      <w:r w:rsidR="00F359EE">
        <w:t>Leader</w:t>
      </w:r>
      <w:r w:rsidR="00F668F4">
        <w:t xml:space="preserve"> of the Council</w:t>
      </w:r>
      <w:r w:rsidR="00CB3D35">
        <w:t>.</w:t>
      </w:r>
    </w:p>
    <w:p w14:paraId="7A968E91" w14:textId="749FE485" w:rsidR="00A65A3A" w:rsidRPr="00A9642E" w:rsidRDefault="00233925" w:rsidP="00B60F59">
      <w:pPr>
        <w:pStyle w:val="ListParagraph"/>
        <w:numPr>
          <w:ilvl w:val="0"/>
          <w:numId w:val="3"/>
        </w:numPr>
        <w:spacing w:after="0" w:line="240" w:lineRule="auto"/>
        <w:rPr>
          <w:rFonts w:eastAsiaTheme="minorHAnsi"/>
          <w:sz w:val="22"/>
        </w:rPr>
      </w:pPr>
      <w:r>
        <w:t>p</w:t>
      </w:r>
      <w:r w:rsidR="00034CBA">
        <w:t>ayments made to Direc</w:t>
      </w:r>
      <w:r w:rsidR="00DC7E00">
        <w:t>t</w:t>
      </w:r>
      <w:r w:rsidR="00034CBA">
        <w:t xml:space="preserve">ors </w:t>
      </w:r>
      <w:r w:rsidR="00DC7E00">
        <w:t>require the approval of the Employment Committee</w:t>
      </w:r>
      <w:r w:rsidR="001D14BC">
        <w:t xml:space="preserve"> </w:t>
      </w:r>
      <w:r w:rsidR="008343F5">
        <w:t>and recommendation to full Council</w:t>
      </w:r>
      <w:r w:rsidR="00545A07">
        <w:t xml:space="preserve"> if £100,000 or more. </w:t>
      </w:r>
    </w:p>
    <w:p w14:paraId="350EBFF9" w14:textId="77777777" w:rsidR="00A9642E" w:rsidRPr="00A65A3A" w:rsidRDefault="00A9642E" w:rsidP="00A9642E">
      <w:pPr>
        <w:pStyle w:val="ListParagraph"/>
        <w:spacing w:after="0" w:line="240" w:lineRule="auto"/>
        <w:ind w:left="771"/>
        <w:rPr>
          <w:rFonts w:eastAsiaTheme="minorHAnsi"/>
          <w:sz w:val="22"/>
        </w:rPr>
      </w:pPr>
    </w:p>
    <w:p w14:paraId="030DDC9E" w14:textId="1B09D49F" w:rsidR="00A9642E" w:rsidRPr="0067554B" w:rsidRDefault="00025BDE" w:rsidP="0067554B">
      <w:pPr>
        <w:pStyle w:val="Heading2"/>
        <w:numPr>
          <w:ilvl w:val="0"/>
          <w:numId w:val="4"/>
        </w:numPr>
        <w:rPr>
          <w:b/>
        </w:rPr>
      </w:pPr>
      <w:r w:rsidRPr="00A9642E">
        <w:t>Market rate supplements</w:t>
      </w:r>
    </w:p>
    <w:p w14:paraId="5193BA56" w14:textId="4654C7BA" w:rsidR="00025BDE" w:rsidRDefault="00025BDE" w:rsidP="007110BB">
      <w:pPr>
        <w:spacing w:after="0" w:line="240" w:lineRule="auto"/>
        <w:rPr>
          <w:bCs/>
        </w:rPr>
      </w:pPr>
      <w:r w:rsidRPr="00834D9A">
        <w:rPr>
          <w:bCs/>
        </w:rPr>
        <w:t xml:space="preserve">Our job evaluation scheme does not </w:t>
      </w:r>
      <w:proofErr w:type="gramStart"/>
      <w:r w:rsidRPr="00834D9A">
        <w:rPr>
          <w:bCs/>
        </w:rPr>
        <w:t>take into account</w:t>
      </w:r>
      <w:proofErr w:type="gramEnd"/>
      <w:r w:rsidRPr="00834D9A">
        <w:rPr>
          <w:bCs/>
        </w:rPr>
        <w:t xml:space="preserve"> market factors such as market pay rates relating to specific jobs or fluctuating demand for skills in the marketplace.  The Council recognises therefore, that there may be occasions where it is necessary to pay a market rate supplement in addition to base salary </w:t>
      </w:r>
      <w:proofErr w:type="gramStart"/>
      <w:r w:rsidRPr="00834D9A">
        <w:rPr>
          <w:bCs/>
        </w:rPr>
        <w:t>in order to</w:t>
      </w:r>
      <w:proofErr w:type="gramEnd"/>
      <w:r w:rsidRPr="00834D9A">
        <w:rPr>
          <w:bCs/>
        </w:rPr>
        <w:t xml:space="preserve"> recruit or retain staff.</w:t>
      </w:r>
    </w:p>
    <w:p w14:paraId="331D76F7" w14:textId="77777777" w:rsidR="0067554B" w:rsidRDefault="0067554B" w:rsidP="007110BB">
      <w:pPr>
        <w:spacing w:after="0" w:line="240" w:lineRule="auto"/>
        <w:rPr>
          <w:bCs/>
        </w:rPr>
      </w:pPr>
    </w:p>
    <w:p w14:paraId="2A78B6C6" w14:textId="1C603D54" w:rsidR="00025BDE" w:rsidRDefault="00025BDE" w:rsidP="007110BB">
      <w:pPr>
        <w:spacing w:after="0" w:line="240" w:lineRule="auto"/>
        <w:rPr>
          <w:bCs/>
        </w:rPr>
      </w:pPr>
      <w:r w:rsidRPr="00834D9A">
        <w:rPr>
          <w:bCs/>
        </w:rPr>
        <w:t xml:space="preserve">The Market Rate Supplement Policy ensures a clear and systematic process is followed in considering the potential for a supplement and for identifying the relevant ‘market rate’ for any specific post, or group of posts.  The policy ensures that relevant considerations are </w:t>
      </w:r>
      <w:proofErr w:type="gramStart"/>
      <w:r w:rsidRPr="00834D9A">
        <w:rPr>
          <w:bCs/>
        </w:rPr>
        <w:t>taken into account</w:t>
      </w:r>
      <w:proofErr w:type="gramEnd"/>
      <w:r w:rsidRPr="00834D9A">
        <w:rPr>
          <w:bCs/>
        </w:rPr>
        <w:t>, both initially and at every subsequent two-yearly review and ensures that a consistent approach is applied across the Council with regard to:</w:t>
      </w:r>
    </w:p>
    <w:p w14:paraId="4A519083" w14:textId="77777777" w:rsidR="0055484F" w:rsidRPr="00834D9A" w:rsidRDefault="0055484F" w:rsidP="007110BB">
      <w:pPr>
        <w:spacing w:after="0" w:line="240" w:lineRule="auto"/>
        <w:rPr>
          <w:b/>
        </w:rPr>
      </w:pPr>
    </w:p>
    <w:p w14:paraId="74089AD9" w14:textId="77777777" w:rsidR="00025BDE" w:rsidRPr="00834D9A" w:rsidRDefault="00025BDE" w:rsidP="00B60F59">
      <w:pPr>
        <w:pStyle w:val="ListBullet"/>
        <w:spacing w:after="0" w:line="240" w:lineRule="auto"/>
      </w:pPr>
      <w:r w:rsidRPr="00834D9A">
        <w:t>the circumstances in which a market rate supplement is considered,</w:t>
      </w:r>
    </w:p>
    <w:p w14:paraId="09297DA2" w14:textId="77777777" w:rsidR="00025BDE" w:rsidRPr="00834D9A" w:rsidRDefault="00025BDE" w:rsidP="00B60F59">
      <w:pPr>
        <w:pStyle w:val="ListBullet"/>
        <w:spacing w:after="0" w:line="240" w:lineRule="auto"/>
      </w:pPr>
      <w:r w:rsidRPr="00834D9A">
        <w:t>the monetary value of any supplement, and</w:t>
      </w:r>
    </w:p>
    <w:p w14:paraId="4951DFFB" w14:textId="74E9F330" w:rsidR="00B62F71" w:rsidRPr="00834D9A" w:rsidRDefault="00025BDE" w:rsidP="00B60F59">
      <w:pPr>
        <w:pStyle w:val="ListBullet"/>
        <w:spacing w:after="0" w:line="240" w:lineRule="auto"/>
      </w:pPr>
      <w:r w:rsidRPr="00834D9A">
        <w:t>the duration of the supplement and the review period that will apply.</w:t>
      </w:r>
    </w:p>
    <w:p w14:paraId="081A9122" w14:textId="63AA5C60" w:rsidR="008F6449" w:rsidRDefault="008F6449" w:rsidP="007110BB">
      <w:pPr>
        <w:spacing w:after="0" w:line="240" w:lineRule="auto"/>
        <w:rPr>
          <w:rFonts w:cstheme="minorHAnsi"/>
          <w:bCs/>
          <w:szCs w:val="24"/>
        </w:rPr>
      </w:pPr>
    </w:p>
    <w:p w14:paraId="58A07214" w14:textId="4ED77082" w:rsidR="00A9642E" w:rsidRPr="0067554B" w:rsidRDefault="00A9642E" w:rsidP="0067554B">
      <w:pPr>
        <w:pStyle w:val="Heading2"/>
        <w:numPr>
          <w:ilvl w:val="0"/>
          <w:numId w:val="4"/>
        </w:numPr>
      </w:pPr>
      <w:r w:rsidRPr="00A9642E">
        <w:t xml:space="preserve">Employee </w:t>
      </w:r>
      <w:r w:rsidR="00E85084" w:rsidRPr="00A9642E">
        <w:t>benefits schemes</w:t>
      </w:r>
    </w:p>
    <w:p w14:paraId="4C5C0902" w14:textId="5E54664E" w:rsidR="00E85084" w:rsidRDefault="00520226" w:rsidP="00E85084">
      <w:pPr>
        <w:spacing w:after="0" w:line="240" w:lineRule="auto"/>
      </w:pPr>
      <w:r>
        <w:t>The</w:t>
      </w:r>
      <w:r w:rsidR="00A9642E">
        <w:t xml:space="preserve"> Council continues to invest in high quality benefits for its employees.  This includes access to </w:t>
      </w:r>
      <w:r w:rsidR="00E85084" w:rsidRPr="00834D9A">
        <w:t>an employee discount scheme offer</w:t>
      </w:r>
      <w:r w:rsidR="00A9642E">
        <w:t>ing</w:t>
      </w:r>
      <w:r w:rsidR="00E85084" w:rsidRPr="00834D9A">
        <w:t xml:space="preserve"> employees the chance to purchase a range of goods and services at discounted rates from a variety of suppliers.</w:t>
      </w:r>
    </w:p>
    <w:p w14:paraId="572EA2CD" w14:textId="77777777" w:rsidR="00A9642E" w:rsidRPr="00834D9A" w:rsidRDefault="00A9642E" w:rsidP="00E85084">
      <w:pPr>
        <w:spacing w:after="0" w:line="240" w:lineRule="auto"/>
      </w:pPr>
    </w:p>
    <w:p w14:paraId="01D28220" w14:textId="77777777" w:rsidR="00E85084" w:rsidRPr="00834D9A" w:rsidRDefault="00E85084" w:rsidP="0067554B">
      <w:pPr>
        <w:spacing w:after="720" w:line="240" w:lineRule="auto"/>
      </w:pPr>
      <w:r w:rsidRPr="00834D9A">
        <w:t xml:space="preserve">We provide access for </w:t>
      </w:r>
      <w:proofErr w:type="gramStart"/>
      <w:r w:rsidRPr="00834D9A">
        <w:t>all of</w:t>
      </w:r>
      <w:proofErr w:type="gramEnd"/>
      <w:r w:rsidRPr="00834D9A">
        <w:t xml:space="preserve"> our employees to an Employee Assistance Programme (EAP). EAPs are intended to help employees deal with personal problems that might adversely impact their work performance, health, and wellbeing.  </w:t>
      </w:r>
    </w:p>
    <w:p w14:paraId="3130C55F" w14:textId="3A0417F3" w:rsidR="00E85084" w:rsidRPr="00A9642E" w:rsidRDefault="000653E8" w:rsidP="00B60F59">
      <w:pPr>
        <w:pStyle w:val="Heading2"/>
        <w:numPr>
          <w:ilvl w:val="0"/>
          <w:numId w:val="4"/>
        </w:numPr>
      </w:pPr>
      <w:r w:rsidRPr="00A9642E">
        <w:lastRenderedPageBreak/>
        <w:t>Fees</w:t>
      </w:r>
      <w:r w:rsidR="00A9642E" w:rsidRPr="00A9642E">
        <w:t xml:space="preserve"> for election duties</w:t>
      </w:r>
    </w:p>
    <w:p w14:paraId="4BE0CBE1" w14:textId="5B3F947F" w:rsidR="00025BDE" w:rsidRPr="00834D9A" w:rsidRDefault="00025BDE" w:rsidP="007110BB">
      <w:pPr>
        <w:spacing w:after="0" w:line="240" w:lineRule="auto"/>
        <w:rPr>
          <w:rFonts w:cstheme="minorHAnsi"/>
          <w:bCs/>
          <w:szCs w:val="24"/>
        </w:rPr>
      </w:pPr>
      <w:r w:rsidRPr="00834D9A">
        <w:rPr>
          <w:rFonts w:cstheme="minorHAnsi"/>
          <w:bCs/>
          <w:szCs w:val="24"/>
        </w:rPr>
        <w:t xml:space="preserve">Sources of funding for elections in England vary according to the type of election. </w:t>
      </w:r>
    </w:p>
    <w:p w14:paraId="6214B965" w14:textId="3621C07E" w:rsidR="00025BDE" w:rsidRDefault="00025BDE" w:rsidP="007110BB">
      <w:pPr>
        <w:spacing w:after="0" w:line="240" w:lineRule="auto"/>
        <w:rPr>
          <w:rFonts w:cstheme="minorHAnsi"/>
          <w:bCs/>
          <w:szCs w:val="24"/>
        </w:rPr>
      </w:pPr>
      <w:r w:rsidRPr="00834D9A">
        <w:rPr>
          <w:rFonts w:cstheme="minorHAnsi"/>
          <w:bCs/>
          <w:szCs w:val="24"/>
        </w:rPr>
        <w:t>The Council’s Returning Officer has overall responsibility for the conduct of elections and is appointed under the Representation of the People Act 1983. The Ministry of Justice, who set the fees to be paid to the Returning Officer, provides the costs of running UK Parliamentary general elections.  Elections fees are paid for these additional duties</w:t>
      </w:r>
      <w:r w:rsidR="0055484F">
        <w:rPr>
          <w:rFonts w:cstheme="minorHAnsi"/>
          <w:bCs/>
          <w:szCs w:val="24"/>
        </w:rPr>
        <w:t>,</w:t>
      </w:r>
      <w:r w:rsidRPr="00834D9A">
        <w:rPr>
          <w:rFonts w:cstheme="minorHAnsi"/>
          <w:bCs/>
          <w:szCs w:val="24"/>
        </w:rPr>
        <w:t xml:space="preserve"> and they are paid separately to salary. </w:t>
      </w:r>
    </w:p>
    <w:p w14:paraId="69073E5C" w14:textId="77777777" w:rsidR="00A9642E" w:rsidRPr="00834D9A" w:rsidRDefault="00A9642E" w:rsidP="007110BB">
      <w:pPr>
        <w:spacing w:after="0" w:line="240" w:lineRule="auto"/>
        <w:rPr>
          <w:rFonts w:cstheme="minorHAnsi"/>
          <w:bCs/>
          <w:szCs w:val="24"/>
        </w:rPr>
      </w:pPr>
    </w:p>
    <w:p w14:paraId="730C4EE0" w14:textId="50905DEB" w:rsidR="00025BDE" w:rsidRDefault="00025BDE" w:rsidP="007110BB">
      <w:pPr>
        <w:spacing w:after="0" w:line="240" w:lineRule="auto"/>
        <w:rPr>
          <w:rFonts w:cstheme="minorHAnsi"/>
          <w:bCs/>
          <w:szCs w:val="24"/>
        </w:rPr>
      </w:pPr>
      <w:r w:rsidRPr="00834D9A">
        <w:rPr>
          <w:rFonts w:cstheme="minorHAnsi"/>
          <w:bCs/>
          <w:szCs w:val="24"/>
        </w:rPr>
        <w:t>The costs of parish, borough and county elections are met through local authority budgets and vary according to the size of the electorate and number of postal voters.  A scale of fees for Returning Officers, polling station and count staff is set annually in line with the Surrey wide scheme.</w:t>
      </w:r>
    </w:p>
    <w:p w14:paraId="4D6FE201" w14:textId="77777777" w:rsidR="0051135B" w:rsidRPr="00834D9A" w:rsidRDefault="0051135B" w:rsidP="007110BB">
      <w:pPr>
        <w:spacing w:after="0" w:line="240" w:lineRule="auto"/>
        <w:rPr>
          <w:rFonts w:cstheme="minorHAnsi"/>
          <w:bCs/>
          <w:szCs w:val="24"/>
        </w:rPr>
      </w:pPr>
    </w:p>
    <w:p w14:paraId="53B4BEDB" w14:textId="4A178E42" w:rsidR="00B62F71" w:rsidRDefault="00B62F71" w:rsidP="00B60F59">
      <w:pPr>
        <w:pStyle w:val="Heading2"/>
        <w:numPr>
          <w:ilvl w:val="0"/>
          <w:numId w:val="4"/>
        </w:numPr>
      </w:pPr>
      <w:bookmarkStart w:id="17" w:name="_Toc97904885"/>
      <w:bookmarkStart w:id="18" w:name="_Toc98150053"/>
      <w:r w:rsidRPr="00834D9A">
        <w:t>Review and policy amendment</w:t>
      </w:r>
      <w:bookmarkEnd w:id="17"/>
      <w:bookmarkEnd w:id="18"/>
    </w:p>
    <w:p w14:paraId="2BBA9972" w14:textId="47E25F84" w:rsidR="00B62F71" w:rsidRPr="00834D9A" w:rsidRDefault="00B62F71" w:rsidP="00F80270">
      <w:pPr>
        <w:tabs>
          <w:tab w:val="left" w:pos="567"/>
        </w:tabs>
        <w:spacing w:after="0" w:line="240" w:lineRule="auto"/>
        <w:rPr>
          <w:rFonts w:cstheme="minorHAnsi"/>
          <w:szCs w:val="24"/>
        </w:rPr>
      </w:pPr>
      <w:r w:rsidRPr="00834D9A">
        <w:rPr>
          <w:rFonts w:cstheme="minorHAnsi"/>
          <w:szCs w:val="24"/>
        </w:rPr>
        <w:t xml:space="preserve">We will review the statement annually and approve a new version of the policy before the start of each subsequent financial year.  If we choose, or need, to amend the statement </w:t>
      </w:r>
      <w:proofErr w:type="gramStart"/>
      <w:r w:rsidRPr="00834D9A">
        <w:rPr>
          <w:rFonts w:cstheme="minorHAnsi"/>
          <w:szCs w:val="24"/>
        </w:rPr>
        <w:t>during the course of</w:t>
      </w:r>
      <w:proofErr w:type="gramEnd"/>
      <w:r w:rsidRPr="00834D9A">
        <w:rPr>
          <w:rFonts w:cstheme="minorHAnsi"/>
          <w:szCs w:val="24"/>
        </w:rPr>
        <w:t xml:space="preserve"> any financial year</w:t>
      </w:r>
      <w:r w:rsidR="0055484F">
        <w:rPr>
          <w:rFonts w:cstheme="minorHAnsi"/>
          <w:szCs w:val="24"/>
        </w:rPr>
        <w:t>,</w:t>
      </w:r>
      <w:r w:rsidRPr="00834D9A">
        <w:rPr>
          <w:rFonts w:cstheme="minorHAnsi"/>
          <w:szCs w:val="24"/>
        </w:rPr>
        <w:t xml:space="preserve"> this will be by resolution of the Council.</w:t>
      </w:r>
    </w:p>
    <w:sectPr w:rsidR="00B62F71" w:rsidRPr="00834D9A" w:rsidSect="005552CD">
      <w:footerReference w:type="even" r:id="rId11"/>
      <w:footerReference w:type="default" r:id="rId12"/>
      <w:headerReference w:type="first" r:id="rId13"/>
      <w:pgSz w:w="11906" w:h="16838" w:code="9"/>
      <w:pgMar w:top="1440" w:right="1797" w:bottom="1440" w:left="1797"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E7E6A" w14:textId="77777777" w:rsidR="0045334B" w:rsidRDefault="0045334B" w:rsidP="00F37E6E">
      <w:pPr>
        <w:spacing w:after="0" w:line="240" w:lineRule="auto"/>
      </w:pPr>
      <w:r>
        <w:separator/>
      </w:r>
    </w:p>
  </w:endnote>
  <w:endnote w:type="continuationSeparator" w:id="0">
    <w:p w14:paraId="78422D1F" w14:textId="77777777" w:rsidR="0045334B" w:rsidRDefault="0045334B" w:rsidP="00F37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E4A1" w14:textId="77777777" w:rsidR="007E1C0B" w:rsidRDefault="00B5716F" w:rsidP="009920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16BC92" w14:textId="77777777" w:rsidR="007E1C0B" w:rsidRDefault="00000000" w:rsidP="009920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88BD" w14:textId="77777777" w:rsidR="007E1C0B" w:rsidRDefault="00000000" w:rsidP="005552CD">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2D3B" w14:textId="77777777" w:rsidR="0045334B" w:rsidRDefault="0045334B" w:rsidP="00F37E6E">
      <w:pPr>
        <w:spacing w:after="0" w:line="240" w:lineRule="auto"/>
      </w:pPr>
      <w:r>
        <w:separator/>
      </w:r>
    </w:p>
  </w:footnote>
  <w:footnote w:type="continuationSeparator" w:id="0">
    <w:p w14:paraId="33478318" w14:textId="77777777" w:rsidR="0045334B" w:rsidRDefault="0045334B" w:rsidP="00F37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4C33" w14:textId="025B6B46" w:rsidR="00F37E6E" w:rsidRDefault="00F37E6E">
    <w:pPr>
      <w:pStyle w:val="Header"/>
    </w:pPr>
    <w:r>
      <w:rPr>
        <w:noProof/>
      </w:rPr>
      <w:drawing>
        <wp:anchor distT="0" distB="0" distL="114300" distR="114300" simplePos="0" relativeHeight="251658240" behindDoc="0" locked="0" layoutInCell="1" allowOverlap="1" wp14:anchorId="082F0F29" wp14:editId="36436962">
          <wp:simplePos x="1144988" y="453224"/>
          <wp:positionH relativeFrom="margin">
            <wp:align>right</wp:align>
          </wp:positionH>
          <wp:positionV relativeFrom="margin">
            <wp:align>top</wp:align>
          </wp:positionV>
          <wp:extent cx="2457450" cy="68897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57450" cy="688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3B0A8A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C141D4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D882A76"/>
    <w:multiLevelType w:val="hybridMultilevel"/>
    <w:tmpl w:val="B55C1C3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 w15:restartNumberingAfterBreak="0">
    <w:nsid w:val="3D384486"/>
    <w:multiLevelType w:val="hybridMultilevel"/>
    <w:tmpl w:val="C9A2D0B4"/>
    <w:lvl w:ilvl="0" w:tplc="5F70CEA6">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80836">
    <w:abstractNumId w:val="1"/>
  </w:num>
  <w:num w:numId="2" w16cid:durableId="251086746">
    <w:abstractNumId w:val="0"/>
  </w:num>
  <w:num w:numId="3" w16cid:durableId="1562136462">
    <w:abstractNumId w:val="2"/>
  </w:num>
  <w:num w:numId="4" w16cid:durableId="49604536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71"/>
    <w:rsid w:val="00001501"/>
    <w:rsid w:val="00002979"/>
    <w:rsid w:val="00002F5E"/>
    <w:rsid w:val="00005B52"/>
    <w:rsid w:val="00020FB6"/>
    <w:rsid w:val="00025BDE"/>
    <w:rsid w:val="00034CBA"/>
    <w:rsid w:val="00042FA6"/>
    <w:rsid w:val="00050794"/>
    <w:rsid w:val="000653E8"/>
    <w:rsid w:val="000819AF"/>
    <w:rsid w:val="0008492B"/>
    <w:rsid w:val="00096DCC"/>
    <w:rsid w:val="000A6D1F"/>
    <w:rsid w:val="000B3D40"/>
    <w:rsid w:val="000B4931"/>
    <w:rsid w:val="000C0A84"/>
    <w:rsid w:val="000C19D3"/>
    <w:rsid w:val="000D4767"/>
    <w:rsid w:val="000E39AF"/>
    <w:rsid w:val="000F4BF5"/>
    <w:rsid w:val="001015EF"/>
    <w:rsid w:val="00103D35"/>
    <w:rsid w:val="00114B82"/>
    <w:rsid w:val="001303F5"/>
    <w:rsid w:val="00131C68"/>
    <w:rsid w:val="001475FE"/>
    <w:rsid w:val="00147E50"/>
    <w:rsid w:val="00151D14"/>
    <w:rsid w:val="00161698"/>
    <w:rsid w:val="0016694D"/>
    <w:rsid w:val="0017581A"/>
    <w:rsid w:val="001775E1"/>
    <w:rsid w:val="001851AE"/>
    <w:rsid w:val="001854BC"/>
    <w:rsid w:val="001A039E"/>
    <w:rsid w:val="001A2CC2"/>
    <w:rsid w:val="001A45EC"/>
    <w:rsid w:val="001A546A"/>
    <w:rsid w:val="001D0EAE"/>
    <w:rsid w:val="001D14BC"/>
    <w:rsid w:val="001D6B3B"/>
    <w:rsid w:val="001D6D5E"/>
    <w:rsid w:val="001F0E1C"/>
    <w:rsid w:val="001F6AD7"/>
    <w:rsid w:val="001F7C53"/>
    <w:rsid w:val="00214EF4"/>
    <w:rsid w:val="00222E72"/>
    <w:rsid w:val="00223925"/>
    <w:rsid w:val="002240B9"/>
    <w:rsid w:val="0023380A"/>
    <w:rsid w:val="00233925"/>
    <w:rsid w:val="00236226"/>
    <w:rsid w:val="002374AB"/>
    <w:rsid w:val="00244101"/>
    <w:rsid w:val="00256921"/>
    <w:rsid w:val="0028786C"/>
    <w:rsid w:val="00297CFC"/>
    <w:rsid w:val="00297FE9"/>
    <w:rsid w:val="002A2C99"/>
    <w:rsid w:val="002A4D97"/>
    <w:rsid w:val="002A612E"/>
    <w:rsid w:val="002B0C4C"/>
    <w:rsid w:val="002D69FC"/>
    <w:rsid w:val="002F16BA"/>
    <w:rsid w:val="002F39CE"/>
    <w:rsid w:val="00300407"/>
    <w:rsid w:val="003019A1"/>
    <w:rsid w:val="00305610"/>
    <w:rsid w:val="00306322"/>
    <w:rsid w:val="00335C9B"/>
    <w:rsid w:val="00341FC6"/>
    <w:rsid w:val="003513D6"/>
    <w:rsid w:val="00353FB3"/>
    <w:rsid w:val="00357FE3"/>
    <w:rsid w:val="00370014"/>
    <w:rsid w:val="0037145B"/>
    <w:rsid w:val="00380777"/>
    <w:rsid w:val="003B1F96"/>
    <w:rsid w:val="003B6FDA"/>
    <w:rsid w:val="003D0DB3"/>
    <w:rsid w:val="003E3C9A"/>
    <w:rsid w:val="003F10B0"/>
    <w:rsid w:val="003F3621"/>
    <w:rsid w:val="0040216D"/>
    <w:rsid w:val="004057C9"/>
    <w:rsid w:val="00405E5B"/>
    <w:rsid w:val="00414B71"/>
    <w:rsid w:val="00425800"/>
    <w:rsid w:val="00425E12"/>
    <w:rsid w:val="00436216"/>
    <w:rsid w:val="004367D7"/>
    <w:rsid w:val="0045334B"/>
    <w:rsid w:val="00466E3D"/>
    <w:rsid w:val="00481A72"/>
    <w:rsid w:val="0049534C"/>
    <w:rsid w:val="004955E0"/>
    <w:rsid w:val="004A4D9F"/>
    <w:rsid w:val="004C433F"/>
    <w:rsid w:val="004D715A"/>
    <w:rsid w:val="004E7F0C"/>
    <w:rsid w:val="005038F2"/>
    <w:rsid w:val="005061A6"/>
    <w:rsid w:val="0051135B"/>
    <w:rsid w:val="00515571"/>
    <w:rsid w:val="0051701B"/>
    <w:rsid w:val="00520226"/>
    <w:rsid w:val="00521843"/>
    <w:rsid w:val="005221FC"/>
    <w:rsid w:val="00523FD0"/>
    <w:rsid w:val="00530782"/>
    <w:rsid w:val="00542204"/>
    <w:rsid w:val="00542FFA"/>
    <w:rsid w:val="00543BA6"/>
    <w:rsid w:val="00545A07"/>
    <w:rsid w:val="0055484F"/>
    <w:rsid w:val="005615F5"/>
    <w:rsid w:val="00565828"/>
    <w:rsid w:val="005678EE"/>
    <w:rsid w:val="00571E67"/>
    <w:rsid w:val="00577599"/>
    <w:rsid w:val="00583D13"/>
    <w:rsid w:val="00585F27"/>
    <w:rsid w:val="005C78FF"/>
    <w:rsid w:val="005D3E69"/>
    <w:rsid w:val="005E7805"/>
    <w:rsid w:val="005F46C8"/>
    <w:rsid w:val="0060374C"/>
    <w:rsid w:val="0062114C"/>
    <w:rsid w:val="00626246"/>
    <w:rsid w:val="00627B9D"/>
    <w:rsid w:val="00630166"/>
    <w:rsid w:val="00637651"/>
    <w:rsid w:val="006512B1"/>
    <w:rsid w:val="006710B0"/>
    <w:rsid w:val="0067554B"/>
    <w:rsid w:val="00690D90"/>
    <w:rsid w:val="006A1FB6"/>
    <w:rsid w:val="006A47A2"/>
    <w:rsid w:val="006C25AF"/>
    <w:rsid w:val="006C264D"/>
    <w:rsid w:val="006D6DD6"/>
    <w:rsid w:val="006E3D68"/>
    <w:rsid w:val="006F2ED1"/>
    <w:rsid w:val="006F3F02"/>
    <w:rsid w:val="006F6E0A"/>
    <w:rsid w:val="00704E7E"/>
    <w:rsid w:val="007110BB"/>
    <w:rsid w:val="00722718"/>
    <w:rsid w:val="00736021"/>
    <w:rsid w:val="0074088E"/>
    <w:rsid w:val="0074269A"/>
    <w:rsid w:val="00761E2A"/>
    <w:rsid w:val="0079190F"/>
    <w:rsid w:val="00793019"/>
    <w:rsid w:val="007A5E51"/>
    <w:rsid w:val="007B6EB4"/>
    <w:rsid w:val="007E0571"/>
    <w:rsid w:val="007E2CB7"/>
    <w:rsid w:val="007F36A1"/>
    <w:rsid w:val="0080001C"/>
    <w:rsid w:val="00800425"/>
    <w:rsid w:val="00800D27"/>
    <w:rsid w:val="008069C2"/>
    <w:rsid w:val="008343F5"/>
    <w:rsid w:val="008345BE"/>
    <w:rsid w:val="00834D9A"/>
    <w:rsid w:val="00843A7F"/>
    <w:rsid w:val="00847E30"/>
    <w:rsid w:val="0086654F"/>
    <w:rsid w:val="0087414D"/>
    <w:rsid w:val="0088193F"/>
    <w:rsid w:val="00894D5A"/>
    <w:rsid w:val="008B31DE"/>
    <w:rsid w:val="008B58E9"/>
    <w:rsid w:val="008B71E0"/>
    <w:rsid w:val="008C4C13"/>
    <w:rsid w:val="008D1D3D"/>
    <w:rsid w:val="008D38A7"/>
    <w:rsid w:val="008F450C"/>
    <w:rsid w:val="008F45B0"/>
    <w:rsid w:val="008F6449"/>
    <w:rsid w:val="00900138"/>
    <w:rsid w:val="009025BE"/>
    <w:rsid w:val="009035F1"/>
    <w:rsid w:val="00916C32"/>
    <w:rsid w:val="00956170"/>
    <w:rsid w:val="00962E9A"/>
    <w:rsid w:val="009A1FAB"/>
    <w:rsid w:val="009A6C12"/>
    <w:rsid w:val="009C7FEF"/>
    <w:rsid w:val="009D114B"/>
    <w:rsid w:val="009D30C1"/>
    <w:rsid w:val="009F6E5C"/>
    <w:rsid w:val="00A0316B"/>
    <w:rsid w:val="00A21FB0"/>
    <w:rsid w:val="00A26C16"/>
    <w:rsid w:val="00A369C6"/>
    <w:rsid w:val="00A47054"/>
    <w:rsid w:val="00A50CF8"/>
    <w:rsid w:val="00A521FA"/>
    <w:rsid w:val="00A57D8D"/>
    <w:rsid w:val="00A57EA4"/>
    <w:rsid w:val="00A631B5"/>
    <w:rsid w:val="00A6353B"/>
    <w:rsid w:val="00A65A3A"/>
    <w:rsid w:val="00A66DD5"/>
    <w:rsid w:val="00A66FED"/>
    <w:rsid w:val="00A75280"/>
    <w:rsid w:val="00A8071B"/>
    <w:rsid w:val="00A847F2"/>
    <w:rsid w:val="00A9642E"/>
    <w:rsid w:val="00AA1854"/>
    <w:rsid w:val="00AA31A0"/>
    <w:rsid w:val="00AE32C3"/>
    <w:rsid w:val="00AF0AC5"/>
    <w:rsid w:val="00AF46B9"/>
    <w:rsid w:val="00AF562E"/>
    <w:rsid w:val="00B15D62"/>
    <w:rsid w:val="00B25CEE"/>
    <w:rsid w:val="00B32797"/>
    <w:rsid w:val="00B3478D"/>
    <w:rsid w:val="00B37253"/>
    <w:rsid w:val="00B40363"/>
    <w:rsid w:val="00B40E7B"/>
    <w:rsid w:val="00B5716F"/>
    <w:rsid w:val="00B60F59"/>
    <w:rsid w:val="00B62F71"/>
    <w:rsid w:val="00B66418"/>
    <w:rsid w:val="00B67F6B"/>
    <w:rsid w:val="00B70A83"/>
    <w:rsid w:val="00B8102A"/>
    <w:rsid w:val="00B866C1"/>
    <w:rsid w:val="00BA5F00"/>
    <w:rsid w:val="00BB37E1"/>
    <w:rsid w:val="00BC61CD"/>
    <w:rsid w:val="00BD42AF"/>
    <w:rsid w:val="00C02D04"/>
    <w:rsid w:val="00C13B06"/>
    <w:rsid w:val="00C253FB"/>
    <w:rsid w:val="00C34A0E"/>
    <w:rsid w:val="00C52F8F"/>
    <w:rsid w:val="00C56ACF"/>
    <w:rsid w:val="00C60A69"/>
    <w:rsid w:val="00C669CC"/>
    <w:rsid w:val="00C70C97"/>
    <w:rsid w:val="00C7420F"/>
    <w:rsid w:val="00C91F20"/>
    <w:rsid w:val="00C93A32"/>
    <w:rsid w:val="00C949BB"/>
    <w:rsid w:val="00CB3D35"/>
    <w:rsid w:val="00CC0060"/>
    <w:rsid w:val="00CC2129"/>
    <w:rsid w:val="00CC260C"/>
    <w:rsid w:val="00CD0D56"/>
    <w:rsid w:val="00CF0BB3"/>
    <w:rsid w:val="00D018F8"/>
    <w:rsid w:val="00D14720"/>
    <w:rsid w:val="00D2286E"/>
    <w:rsid w:val="00D234FD"/>
    <w:rsid w:val="00D27BE2"/>
    <w:rsid w:val="00D3284B"/>
    <w:rsid w:val="00D51524"/>
    <w:rsid w:val="00D54BB4"/>
    <w:rsid w:val="00D56279"/>
    <w:rsid w:val="00D71450"/>
    <w:rsid w:val="00DA3257"/>
    <w:rsid w:val="00DB360C"/>
    <w:rsid w:val="00DC625E"/>
    <w:rsid w:val="00DC6C85"/>
    <w:rsid w:val="00DC7E00"/>
    <w:rsid w:val="00DF1143"/>
    <w:rsid w:val="00DF57C8"/>
    <w:rsid w:val="00E15964"/>
    <w:rsid w:val="00E161C9"/>
    <w:rsid w:val="00E23B0C"/>
    <w:rsid w:val="00E55BA4"/>
    <w:rsid w:val="00E56315"/>
    <w:rsid w:val="00E746DA"/>
    <w:rsid w:val="00E75480"/>
    <w:rsid w:val="00E77078"/>
    <w:rsid w:val="00E814E7"/>
    <w:rsid w:val="00E85084"/>
    <w:rsid w:val="00E96C1F"/>
    <w:rsid w:val="00E9786E"/>
    <w:rsid w:val="00EA0F94"/>
    <w:rsid w:val="00EA75F3"/>
    <w:rsid w:val="00EA76AD"/>
    <w:rsid w:val="00ED24A7"/>
    <w:rsid w:val="00EE5231"/>
    <w:rsid w:val="00F0134A"/>
    <w:rsid w:val="00F05180"/>
    <w:rsid w:val="00F132C7"/>
    <w:rsid w:val="00F16D16"/>
    <w:rsid w:val="00F17473"/>
    <w:rsid w:val="00F359EE"/>
    <w:rsid w:val="00F36D46"/>
    <w:rsid w:val="00F37E6E"/>
    <w:rsid w:val="00F44AA8"/>
    <w:rsid w:val="00F5252E"/>
    <w:rsid w:val="00F549FC"/>
    <w:rsid w:val="00F668F4"/>
    <w:rsid w:val="00F72CD9"/>
    <w:rsid w:val="00F80270"/>
    <w:rsid w:val="00F80958"/>
    <w:rsid w:val="00F83D95"/>
    <w:rsid w:val="00F9698C"/>
    <w:rsid w:val="00FA2B92"/>
    <w:rsid w:val="00FB5FD7"/>
    <w:rsid w:val="00FB6334"/>
    <w:rsid w:val="00FD35C7"/>
    <w:rsid w:val="00FD4E27"/>
    <w:rsid w:val="00FE3959"/>
    <w:rsid w:val="00FE4C48"/>
    <w:rsid w:val="00FF0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08DB8"/>
  <w15:chartTrackingRefBased/>
  <w15:docId w15:val="{85FEB3F9-1FA3-4BD5-A323-17FD5011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E30"/>
    <w:pPr>
      <w:spacing w:after="240" w:line="360" w:lineRule="auto"/>
    </w:pPr>
    <w:rPr>
      <w:rFonts w:eastAsia="Calibri" w:cs="Times New Roman"/>
      <w:sz w:val="24"/>
    </w:rPr>
  </w:style>
  <w:style w:type="paragraph" w:styleId="Heading1">
    <w:name w:val="heading 1"/>
    <w:basedOn w:val="Normal"/>
    <w:next w:val="Normal"/>
    <w:link w:val="Heading1Char"/>
    <w:uiPriority w:val="9"/>
    <w:qFormat/>
    <w:rsid w:val="00916C32"/>
    <w:pPr>
      <w:keepNext/>
      <w:keepLines/>
      <w:spacing w:before="1000" w:after="7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0F59"/>
    <w:pPr>
      <w:keepNext/>
      <w:keepLines/>
      <w:spacing w:before="40"/>
      <w:outlineLvl w:val="1"/>
    </w:pPr>
    <w:rPr>
      <w:rFonts w:asciiTheme="majorHAnsi" w:eastAsiaTheme="majorEastAsia" w:hAnsiTheme="majorHAnsi" w:cstheme="majorBidi"/>
      <w:color w:val="2F5496" w:themeColor="accent1" w:themeShade="BF"/>
      <w:szCs w:val="26"/>
    </w:rPr>
  </w:style>
  <w:style w:type="paragraph" w:styleId="Heading3">
    <w:name w:val="heading 3"/>
    <w:basedOn w:val="Normal"/>
    <w:next w:val="Normal"/>
    <w:link w:val="Heading3Char"/>
    <w:uiPriority w:val="9"/>
    <w:unhideWhenUsed/>
    <w:qFormat/>
    <w:rsid w:val="00BD42AF"/>
    <w:pPr>
      <w:keepNext/>
      <w:keepLines/>
      <w:spacing w:before="40" w:after="0"/>
      <w:outlineLvl w:val="2"/>
    </w:pPr>
    <w:rPr>
      <w:rFonts w:asciiTheme="majorHAnsi" w:eastAsiaTheme="majorEastAsia" w:hAnsiTheme="majorHAnsi"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F71"/>
    <w:pPr>
      <w:ind w:left="720"/>
      <w:contextualSpacing/>
    </w:pPr>
  </w:style>
  <w:style w:type="paragraph" w:customStyle="1" w:styleId="Default">
    <w:name w:val="Default"/>
    <w:rsid w:val="00B62F71"/>
    <w:pPr>
      <w:autoSpaceDE w:val="0"/>
      <w:autoSpaceDN w:val="0"/>
      <w:adjustRightInd w:val="0"/>
      <w:spacing w:after="0" w:line="240" w:lineRule="auto"/>
    </w:pPr>
    <w:rPr>
      <w:rFonts w:ascii="Arial" w:eastAsia="Calibri" w:hAnsi="Arial" w:cs="Arial"/>
      <w:color w:val="000000"/>
      <w:sz w:val="24"/>
      <w:szCs w:val="24"/>
      <w:lang w:val="en-US"/>
    </w:rPr>
  </w:style>
  <w:style w:type="character" w:styleId="Strong">
    <w:name w:val="Strong"/>
    <w:uiPriority w:val="22"/>
    <w:qFormat/>
    <w:rsid w:val="00B62F71"/>
    <w:rPr>
      <w:b/>
      <w:bCs/>
    </w:rPr>
  </w:style>
  <w:style w:type="character" w:customStyle="1" w:styleId="normal7">
    <w:name w:val="normal_7"/>
    <w:basedOn w:val="DefaultParagraphFont"/>
    <w:rsid w:val="00B62F71"/>
  </w:style>
  <w:style w:type="character" w:customStyle="1" w:styleId="normal2">
    <w:name w:val="normal_2"/>
    <w:basedOn w:val="DefaultParagraphFont"/>
    <w:rsid w:val="00B62F71"/>
  </w:style>
  <w:style w:type="character" w:customStyle="1" w:styleId="normal9">
    <w:name w:val="normal_9"/>
    <w:basedOn w:val="DefaultParagraphFont"/>
    <w:rsid w:val="00B62F71"/>
  </w:style>
  <w:style w:type="paragraph" w:styleId="NormalWeb">
    <w:name w:val="Normal (Web)"/>
    <w:basedOn w:val="Normal"/>
    <w:uiPriority w:val="99"/>
    <w:unhideWhenUsed/>
    <w:rsid w:val="00B62F71"/>
    <w:rPr>
      <w:rFonts w:ascii="Times New Roman" w:hAnsi="Times New Roman"/>
      <w:szCs w:val="24"/>
    </w:rPr>
  </w:style>
  <w:style w:type="paragraph" w:styleId="BalloonText">
    <w:name w:val="Balloon Text"/>
    <w:basedOn w:val="Normal"/>
    <w:link w:val="BalloonTextChar"/>
    <w:uiPriority w:val="99"/>
    <w:semiHidden/>
    <w:unhideWhenUsed/>
    <w:rsid w:val="00B62F71"/>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B62F71"/>
    <w:rPr>
      <w:rFonts w:ascii="Tahoma" w:eastAsia="Calibri" w:hAnsi="Tahoma" w:cs="Times New Roman"/>
      <w:sz w:val="16"/>
      <w:szCs w:val="16"/>
      <w:lang w:eastAsia="x-none"/>
    </w:rPr>
  </w:style>
  <w:style w:type="table" w:styleId="TableGrid">
    <w:name w:val="Table Grid"/>
    <w:basedOn w:val="TableNormal"/>
    <w:rsid w:val="00B62F7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62F71"/>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rsid w:val="00B62F71"/>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B62F71"/>
    <w:pPr>
      <w:tabs>
        <w:tab w:val="center" w:pos="4153"/>
        <w:tab w:val="right" w:pos="8306"/>
      </w:tabs>
    </w:pPr>
    <w:rPr>
      <w:rFonts w:ascii="Times New Roman" w:eastAsia="Times New Roman" w:hAnsi="Times New Roman"/>
      <w:szCs w:val="24"/>
      <w:lang w:eastAsia="en-GB"/>
    </w:rPr>
  </w:style>
  <w:style w:type="character" w:customStyle="1" w:styleId="FooterChar">
    <w:name w:val="Footer Char"/>
    <w:basedOn w:val="DefaultParagraphFont"/>
    <w:link w:val="Footer"/>
    <w:uiPriority w:val="99"/>
    <w:rsid w:val="00B62F71"/>
    <w:rPr>
      <w:rFonts w:ascii="Times New Roman" w:eastAsia="Times New Roman" w:hAnsi="Times New Roman" w:cs="Times New Roman"/>
      <w:sz w:val="24"/>
      <w:szCs w:val="24"/>
      <w:lang w:eastAsia="en-GB"/>
    </w:rPr>
  </w:style>
  <w:style w:type="character" w:styleId="PageNumber">
    <w:name w:val="page number"/>
    <w:basedOn w:val="DefaultParagraphFont"/>
    <w:rsid w:val="00B62F71"/>
  </w:style>
  <w:style w:type="paragraph" w:customStyle="1" w:styleId="msolistparagraph0">
    <w:name w:val="msolistparagraph"/>
    <w:basedOn w:val="Normal"/>
    <w:rsid w:val="00B62F71"/>
    <w:pPr>
      <w:spacing w:before="100" w:beforeAutospacing="1" w:after="100" w:afterAutospacing="1"/>
    </w:pPr>
    <w:rPr>
      <w:rFonts w:ascii="Times New Roman" w:eastAsia="Times New Roman" w:hAnsi="Times New Roman"/>
      <w:szCs w:val="24"/>
      <w:lang w:eastAsia="en-GB"/>
    </w:rPr>
  </w:style>
  <w:style w:type="paragraph" w:styleId="Header">
    <w:name w:val="header"/>
    <w:basedOn w:val="Normal"/>
    <w:link w:val="HeaderChar"/>
    <w:uiPriority w:val="99"/>
    <w:unhideWhenUsed/>
    <w:rsid w:val="00B62F71"/>
    <w:pPr>
      <w:tabs>
        <w:tab w:val="center" w:pos="4680"/>
        <w:tab w:val="right" w:pos="9360"/>
      </w:tabs>
    </w:pPr>
    <w:rPr>
      <w:lang w:eastAsia="x-none"/>
    </w:rPr>
  </w:style>
  <w:style w:type="character" w:customStyle="1" w:styleId="HeaderChar">
    <w:name w:val="Header Char"/>
    <w:basedOn w:val="DefaultParagraphFont"/>
    <w:link w:val="Header"/>
    <w:uiPriority w:val="99"/>
    <w:rsid w:val="00B62F71"/>
    <w:rPr>
      <w:rFonts w:ascii="Calibri" w:eastAsia="Calibri" w:hAnsi="Calibri" w:cs="Times New Roman"/>
      <w:lang w:eastAsia="x-none"/>
    </w:rPr>
  </w:style>
  <w:style w:type="character" w:styleId="CommentReference">
    <w:name w:val="annotation reference"/>
    <w:uiPriority w:val="99"/>
    <w:semiHidden/>
    <w:unhideWhenUsed/>
    <w:rsid w:val="00B62F71"/>
    <w:rPr>
      <w:sz w:val="16"/>
      <w:szCs w:val="16"/>
    </w:rPr>
  </w:style>
  <w:style w:type="character" w:styleId="FollowedHyperlink">
    <w:name w:val="FollowedHyperlink"/>
    <w:uiPriority w:val="99"/>
    <w:semiHidden/>
    <w:unhideWhenUsed/>
    <w:rsid w:val="00B62F71"/>
    <w:rPr>
      <w:color w:val="800080"/>
      <w:u w:val="single"/>
    </w:rPr>
  </w:style>
  <w:style w:type="paragraph" w:styleId="CommentSubject">
    <w:name w:val="annotation subject"/>
    <w:basedOn w:val="CommentText"/>
    <w:next w:val="CommentText"/>
    <w:link w:val="CommentSubjectChar"/>
    <w:uiPriority w:val="99"/>
    <w:semiHidden/>
    <w:unhideWhenUsed/>
    <w:rsid w:val="00B62F71"/>
    <w:rPr>
      <w:b/>
      <w:bCs/>
      <w:lang w:eastAsia="en-US"/>
    </w:rPr>
  </w:style>
  <w:style w:type="character" w:customStyle="1" w:styleId="CommentSubjectChar">
    <w:name w:val="Comment Subject Char"/>
    <w:basedOn w:val="CommentTextChar"/>
    <w:link w:val="CommentSubject"/>
    <w:uiPriority w:val="99"/>
    <w:semiHidden/>
    <w:rsid w:val="00B62F71"/>
    <w:rPr>
      <w:rFonts w:ascii="Times New Roman" w:eastAsia="Times New Roman" w:hAnsi="Times New Roman" w:cs="Times New Roman"/>
      <w:b/>
      <w:bCs/>
      <w:sz w:val="20"/>
      <w:szCs w:val="20"/>
      <w:lang w:eastAsia="en-GB"/>
    </w:rPr>
  </w:style>
  <w:style w:type="paragraph" w:customStyle="1" w:styleId="StyleRightAfter36pt">
    <w:name w:val="Style Right After:  36 pt"/>
    <w:basedOn w:val="Normal"/>
    <w:rsid w:val="00B62F71"/>
    <w:pPr>
      <w:spacing w:after="720"/>
      <w:jc w:val="right"/>
    </w:pPr>
    <w:rPr>
      <w:rFonts w:ascii="Arial" w:eastAsia="Times New Roman" w:hAnsi="Arial"/>
      <w:szCs w:val="20"/>
    </w:rPr>
  </w:style>
  <w:style w:type="paragraph" w:styleId="NoSpacing">
    <w:name w:val="No Spacing"/>
    <w:uiPriority w:val="1"/>
    <w:qFormat/>
    <w:rsid w:val="00B62F71"/>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916C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60F59"/>
    <w:rPr>
      <w:rFonts w:asciiTheme="majorHAnsi" w:eastAsiaTheme="majorEastAsia" w:hAnsiTheme="majorHAnsi" w:cstheme="majorBidi"/>
      <w:color w:val="2F5496" w:themeColor="accent1" w:themeShade="BF"/>
      <w:sz w:val="24"/>
      <w:szCs w:val="26"/>
    </w:rPr>
  </w:style>
  <w:style w:type="paragraph" w:styleId="TOC1">
    <w:name w:val="toc 1"/>
    <w:basedOn w:val="Normal"/>
    <w:next w:val="Normal"/>
    <w:autoRedefine/>
    <w:uiPriority w:val="39"/>
    <w:unhideWhenUsed/>
    <w:rsid w:val="00F37E6E"/>
    <w:pPr>
      <w:spacing w:after="100"/>
    </w:pPr>
  </w:style>
  <w:style w:type="paragraph" w:styleId="TOC2">
    <w:name w:val="toc 2"/>
    <w:basedOn w:val="Normal"/>
    <w:next w:val="Normal"/>
    <w:autoRedefine/>
    <w:uiPriority w:val="39"/>
    <w:unhideWhenUsed/>
    <w:rsid w:val="00F37E6E"/>
    <w:pPr>
      <w:spacing w:after="100"/>
      <w:ind w:left="220"/>
    </w:pPr>
  </w:style>
  <w:style w:type="paragraph" w:styleId="ListBullet">
    <w:name w:val="List Bullet"/>
    <w:basedOn w:val="Normal"/>
    <w:uiPriority w:val="99"/>
    <w:unhideWhenUsed/>
    <w:rsid w:val="001303F5"/>
    <w:pPr>
      <w:numPr>
        <w:numId w:val="1"/>
      </w:numPr>
      <w:ind w:left="357" w:hanging="357"/>
    </w:pPr>
  </w:style>
  <w:style w:type="paragraph" w:styleId="List">
    <w:name w:val="List"/>
    <w:basedOn w:val="Normal"/>
    <w:uiPriority w:val="99"/>
    <w:unhideWhenUsed/>
    <w:rsid w:val="00147E50"/>
    <w:pPr>
      <w:ind w:left="283" w:hanging="283"/>
      <w:contextualSpacing/>
    </w:pPr>
  </w:style>
  <w:style w:type="paragraph" w:styleId="ListBullet2">
    <w:name w:val="List Bullet 2"/>
    <w:basedOn w:val="Normal"/>
    <w:uiPriority w:val="99"/>
    <w:unhideWhenUsed/>
    <w:rsid w:val="00147E50"/>
    <w:pPr>
      <w:numPr>
        <w:numId w:val="2"/>
      </w:numPr>
      <w:contextualSpacing/>
    </w:pPr>
  </w:style>
  <w:style w:type="character" w:styleId="UnresolvedMention">
    <w:name w:val="Unresolved Mention"/>
    <w:basedOn w:val="DefaultParagraphFont"/>
    <w:uiPriority w:val="99"/>
    <w:semiHidden/>
    <w:unhideWhenUsed/>
    <w:rsid w:val="00A75280"/>
    <w:rPr>
      <w:color w:val="605E5C"/>
      <w:shd w:val="clear" w:color="auto" w:fill="E1DFDD"/>
    </w:rPr>
  </w:style>
  <w:style w:type="paragraph" w:styleId="BlockText">
    <w:name w:val="Block Text"/>
    <w:basedOn w:val="Normal"/>
    <w:uiPriority w:val="99"/>
    <w:semiHidden/>
    <w:unhideWhenUsed/>
    <w:rsid w:val="00847E3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1" w:right="1151"/>
    </w:pPr>
    <w:rPr>
      <w:rFonts w:eastAsiaTheme="minorEastAsia" w:cstheme="minorBidi"/>
      <w:i/>
      <w:iCs/>
      <w:color w:val="4472C4" w:themeColor="accent1"/>
    </w:rPr>
  </w:style>
  <w:style w:type="character" w:styleId="Hyperlink">
    <w:name w:val="Hyperlink"/>
    <w:basedOn w:val="DefaultParagraphFont"/>
    <w:uiPriority w:val="99"/>
    <w:unhideWhenUsed/>
    <w:rsid w:val="00585F27"/>
    <w:rPr>
      <w:color w:val="0563C1" w:themeColor="hyperlink"/>
      <w:u w:val="single"/>
    </w:rPr>
  </w:style>
  <w:style w:type="character" w:customStyle="1" w:styleId="Heading3Char">
    <w:name w:val="Heading 3 Char"/>
    <w:basedOn w:val="DefaultParagraphFont"/>
    <w:link w:val="Heading3"/>
    <w:uiPriority w:val="9"/>
    <w:rsid w:val="00BD42AF"/>
    <w:rPr>
      <w:rFonts w:asciiTheme="majorHAnsi" w:eastAsiaTheme="majorEastAsia" w:hAnsiTheme="majorHAnsi"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599750">
      <w:bodyDiv w:val="1"/>
      <w:marLeft w:val="0"/>
      <w:marRight w:val="0"/>
      <w:marTop w:val="0"/>
      <w:marBottom w:val="0"/>
      <w:divBdr>
        <w:top w:val="none" w:sz="0" w:space="0" w:color="auto"/>
        <w:left w:val="none" w:sz="0" w:space="0" w:color="auto"/>
        <w:bottom w:val="none" w:sz="0" w:space="0" w:color="auto"/>
        <w:right w:val="none" w:sz="0" w:space="0" w:color="auto"/>
      </w:divBdr>
    </w:div>
    <w:div w:id="1216308876">
      <w:bodyDiv w:val="1"/>
      <w:marLeft w:val="0"/>
      <w:marRight w:val="0"/>
      <w:marTop w:val="0"/>
      <w:marBottom w:val="0"/>
      <w:divBdr>
        <w:top w:val="none" w:sz="0" w:space="0" w:color="auto"/>
        <w:left w:val="none" w:sz="0" w:space="0" w:color="auto"/>
        <w:bottom w:val="none" w:sz="0" w:space="0" w:color="auto"/>
        <w:right w:val="none" w:sz="0" w:space="0" w:color="auto"/>
      </w:divBdr>
    </w:div>
    <w:div w:id="1733311595">
      <w:bodyDiv w:val="1"/>
      <w:marLeft w:val="0"/>
      <w:marRight w:val="0"/>
      <w:marTop w:val="0"/>
      <w:marBottom w:val="0"/>
      <w:divBdr>
        <w:top w:val="none" w:sz="0" w:space="0" w:color="auto"/>
        <w:left w:val="none" w:sz="0" w:space="0" w:color="auto"/>
        <w:bottom w:val="none" w:sz="0" w:space="0" w:color="auto"/>
        <w:right w:val="none" w:sz="0" w:space="0" w:color="auto"/>
      </w:divBdr>
    </w:div>
    <w:div w:id="198026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ildford.gov.uk/transparencydat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averley.gov.uk/Services/Council-information/About-Waverley-Borough-Council/Senior-Management-Team" TargetMode="External"/><Relationship Id="rId4" Type="http://schemas.openxmlformats.org/officeDocument/2006/relationships/settings" Target="settings.xml"/><Relationship Id="rId9" Type="http://schemas.openxmlformats.org/officeDocument/2006/relationships/hyperlink" Target="https://www.guildford.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193E2-2EDE-4FB1-B9F4-03BCB44E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Dajana Topczewski</dc:creator>
  <cp:keywords/>
  <dc:description/>
  <cp:lastModifiedBy>Daniel Hannington</cp:lastModifiedBy>
  <cp:revision>4</cp:revision>
  <cp:lastPrinted>2022-12-13T10:05:00Z</cp:lastPrinted>
  <dcterms:created xsi:type="dcterms:W3CDTF">2023-02-16T11:54:00Z</dcterms:created>
  <dcterms:modified xsi:type="dcterms:W3CDTF">2023-02-16T11:57:00Z</dcterms:modified>
</cp:coreProperties>
</file>