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D1A5" w14:textId="77777777" w:rsidR="00976CFA" w:rsidRDefault="00976CFA" w:rsidP="00976CFA">
      <w:pPr>
        <w:spacing w:after="0" w:line="276" w:lineRule="auto"/>
        <w:ind w:right="-897"/>
      </w:pPr>
      <w:r w:rsidRPr="001C0AB8">
        <w:rPr>
          <w:rFonts w:eastAsia="Calibri" w:cs="Arial"/>
          <w:b/>
          <w:kern w:val="0"/>
          <w14:ligatures w14:val="none"/>
        </w:rPr>
        <w:t>Further conditions</w:t>
      </w:r>
      <w:r w:rsidRPr="001C0AB8">
        <w:rPr>
          <w:rFonts w:eastAsia="Calibri" w:cs="Arial"/>
          <w:b/>
          <w:kern w:val="0"/>
          <w14:ligatures w14:val="none"/>
        </w:rPr>
        <w:br/>
      </w:r>
    </w:p>
    <w:p w14:paraId="67EB5E63" w14:textId="77777777" w:rsidR="00976CFA" w:rsidRDefault="00976CFA" w:rsidP="00976CFA">
      <w:pPr>
        <w:pStyle w:val="ListParagraph"/>
        <w:numPr>
          <w:ilvl w:val="0"/>
          <w:numId w:val="1"/>
        </w:numPr>
        <w:spacing w:after="0" w:line="360" w:lineRule="auto"/>
        <w:ind w:right="-897"/>
      </w:pPr>
      <w:r>
        <w:t>Internal written policies and procedures shall be kept up to date and made available to an authorised officer of a responsible authority on request.</w:t>
      </w:r>
    </w:p>
    <w:p w14:paraId="4B90E5B0" w14:textId="77777777" w:rsidR="00976CFA" w:rsidRDefault="00976CFA" w:rsidP="00976CFA">
      <w:pPr>
        <w:pStyle w:val="ListParagraph"/>
        <w:numPr>
          <w:ilvl w:val="0"/>
          <w:numId w:val="1"/>
        </w:numPr>
        <w:spacing w:after="0" w:line="360" w:lineRule="auto"/>
        <w:ind w:right="-897"/>
      </w:pPr>
      <w:r>
        <w:t>University Security staff will be on the premises 24 hours a day and can be contacted at any time by staff involved in licensable activities.</w:t>
      </w:r>
    </w:p>
    <w:p w14:paraId="10C87618" w14:textId="77777777" w:rsidR="00976CFA" w:rsidRDefault="00976CFA" w:rsidP="00976CFA">
      <w:pPr>
        <w:pStyle w:val="ListParagraph"/>
        <w:numPr>
          <w:ilvl w:val="0"/>
          <w:numId w:val="1"/>
        </w:numPr>
        <w:spacing w:after="0" w:line="360" w:lineRule="auto"/>
        <w:ind w:right="-897"/>
      </w:pPr>
      <w:r>
        <w:t xml:space="preserve">Clearly visible crime and disorder prevention measures shall be in place within and surrounding the premises. </w:t>
      </w:r>
    </w:p>
    <w:p w14:paraId="7567326F" w14:textId="77777777" w:rsidR="00976CFA" w:rsidRDefault="00976CFA" w:rsidP="00976CFA">
      <w:pPr>
        <w:pStyle w:val="ListParagraph"/>
        <w:numPr>
          <w:ilvl w:val="0"/>
          <w:numId w:val="1"/>
        </w:numPr>
        <w:spacing w:after="0" w:line="360" w:lineRule="auto"/>
        <w:ind w:right="-897"/>
      </w:pPr>
      <w:r>
        <w:t>The licence holder shall ensure that a working CCTV system is installed on the premises, and</w:t>
      </w:r>
    </w:p>
    <w:p w14:paraId="1306C39D" w14:textId="77777777" w:rsidR="00976CFA" w:rsidRDefault="00976CFA" w:rsidP="00976CFA">
      <w:pPr>
        <w:pStyle w:val="ListParagraph"/>
        <w:numPr>
          <w:ilvl w:val="0"/>
          <w:numId w:val="1"/>
        </w:numPr>
        <w:spacing w:after="0" w:line="360" w:lineRule="auto"/>
        <w:ind w:right="-897"/>
      </w:pPr>
      <w:r>
        <w:t>Signs shall be used to inform patrons that CCTV is in use, and</w:t>
      </w:r>
    </w:p>
    <w:p w14:paraId="058B181C" w14:textId="77777777" w:rsidR="00976CFA" w:rsidRDefault="00976CFA" w:rsidP="00976CFA">
      <w:pPr>
        <w:pStyle w:val="ListParagraph"/>
        <w:numPr>
          <w:ilvl w:val="0"/>
          <w:numId w:val="1"/>
        </w:numPr>
        <w:spacing w:after="0" w:line="360" w:lineRule="auto"/>
        <w:ind w:right="-897"/>
      </w:pPr>
      <w:r>
        <w:t>Monthly maintenance checks shall be carried out on the CCTV, and</w:t>
      </w:r>
    </w:p>
    <w:p w14:paraId="442894E2" w14:textId="77777777" w:rsidR="00976CFA" w:rsidRDefault="00976CFA" w:rsidP="00976CFA">
      <w:pPr>
        <w:pStyle w:val="ListParagraph"/>
        <w:numPr>
          <w:ilvl w:val="0"/>
          <w:numId w:val="1"/>
        </w:numPr>
        <w:spacing w:after="0" w:line="360" w:lineRule="auto"/>
        <w:ind w:right="-897"/>
      </w:pPr>
      <w:r>
        <w:t xml:space="preserve">The CCTV shall be operation when the premises are open to the public and a member of staff who </w:t>
      </w:r>
      <w:proofErr w:type="gramStart"/>
      <w:r>
        <w:t>is capable of operating</w:t>
      </w:r>
      <w:proofErr w:type="gramEnd"/>
      <w:r>
        <w:t xml:space="preserve"> the system is present at all times, and </w:t>
      </w:r>
    </w:p>
    <w:p w14:paraId="63E46A1B" w14:textId="77777777" w:rsidR="00976CFA" w:rsidRDefault="00976CFA" w:rsidP="00976CFA">
      <w:pPr>
        <w:pStyle w:val="ListParagraph"/>
        <w:numPr>
          <w:ilvl w:val="0"/>
          <w:numId w:val="1"/>
        </w:numPr>
        <w:spacing w:after="0" w:line="360" w:lineRule="auto"/>
        <w:ind w:right="-897"/>
      </w:pPr>
      <w:r>
        <w:t>All CCTV footage shall be retained for a minimum period of 15 days, and</w:t>
      </w:r>
    </w:p>
    <w:p w14:paraId="4CC77D00" w14:textId="77777777" w:rsidR="00976CFA" w:rsidRDefault="00976CFA" w:rsidP="00976CFA">
      <w:pPr>
        <w:pStyle w:val="ListParagraph"/>
        <w:numPr>
          <w:ilvl w:val="0"/>
          <w:numId w:val="1"/>
        </w:numPr>
        <w:spacing w:after="0" w:line="360" w:lineRule="auto"/>
        <w:ind w:right="-897"/>
      </w:pPr>
      <w:r>
        <w:t>Footage shall be made available to an authorised officer of a responsible authority upon request for immediate viewing, or in a format that can be downloaded, within 24 hours.</w:t>
      </w:r>
    </w:p>
    <w:p w14:paraId="1C13581F" w14:textId="77777777" w:rsidR="00976CFA" w:rsidRDefault="00976CFA" w:rsidP="00976CFA">
      <w:pPr>
        <w:pStyle w:val="ListParagraph"/>
        <w:numPr>
          <w:ilvl w:val="0"/>
          <w:numId w:val="1"/>
        </w:numPr>
        <w:spacing w:after="0" w:line="360" w:lineRule="auto"/>
        <w:ind w:right="-897"/>
      </w:pPr>
      <w:r>
        <w:t>The first aid, fire safety and building evacuation procedures in place will comply with all internal procedures with staff receiving training as appropriate.</w:t>
      </w:r>
    </w:p>
    <w:p w14:paraId="2D285F0D" w14:textId="77777777" w:rsidR="00976CFA" w:rsidRDefault="00976CFA" w:rsidP="00976CFA">
      <w:pPr>
        <w:pStyle w:val="ListParagraph"/>
        <w:numPr>
          <w:ilvl w:val="0"/>
          <w:numId w:val="1"/>
        </w:numPr>
        <w:spacing w:after="0" w:line="360" w:lineRule="auto"/>
        <w:ind w:right="-897"/>
      </w:pPr>
      <w:r>
        <w:t>Alternative equipment (e.g. plastic glasses) shall be available when needed in response to appropriate policies and risk assessments.</w:t>
      </w:r>
    </w:p>
    <w:p w14:paraId="00D33BA3" w14:textId="77777777" w:rsidR="00976CFA" w:rsidRDefault="00976CFA" w:rsidP="00976CFA">
      <w:pPr>
        <w:pStyle w:val="ListParagraph"/>
        <w:numPr>
          <w:ilvl w:val="0"/>
          <w:numId w:val="1"/>
        </w:numPr>
        <w:spacing w:after="0" w:line="360" w:lineRule="auto"/>
        <w:ind w:right="-897"/>
      </w:pPr>
      <w:r>
        <w:t>The licence holder shall ensure that a responsible person monitors events involving amplified music and takes appropriate action to ensure the event is not causing a disturbance to neighbouring properties.</w:t>
      </w:r>
    </w:p>
    <w:p w14:paraId="42A37B63" w14:textId="77777777" w:rsidR="00976CFA" w:rsidRDefault="00976CFA" w:rsidP="00976CFA">
      <w:pPr>
        <w:pStyle w:val="ListParagraph"/>
        <w:numPr>
          <w:ilvl w:val="0"/>
          <w:numId w:val="1"/>
        </w:numPr>
        <w:spacing w:after="0" w:line="360" w:lineRule="auto"/>
        <w:ind w:right="-897"/>
      </w:pPr>
      <w:proofErr w:type="gramStart"/>
      <w:r>
        <w:t>Age appropriate</w:t>
      </w:r>
      <w:proofErr w:type="gramEnd"/>
      <w:r>
        <w:t xml:space="preserve"> admissions controls will be in place for all licensed areas. Door staff shall receive training in identifying and admitting under 18’s where the sale of alcohol is also involved.</w:t>
      </w:r>
    </w:p>
    <w:p w14:paraId="14C14E06" w14:textId="77777777" w:rsidR="00976CFA" w:rsidRDefault="00976CFA" w:rsidP="00976CFA">
      <w:pPr>
        <w:pStyle w:val="ListParagraph"/>
        <w:numPr>
          <w:ilvl w:val="0"/>
          <w:numId w:val="1"/>
        </w:numPr>
        <w:spacing w:after="0" w:line="360" w:lineRule="auto"/>
        <w:ind w:right="-897"/>
      </w:pPr>
      <w:r>
        <w:t>Policies that safeguard children involved in performances on the premises will be in place with staff receiving training as appropriate.</w:t>
      </w:r>
    </w:p>
    <w:p w14:paraId="56DAFEF1" w14:textId="77777777" w:rsidR="00976CFA" w:rsidRDefault="00976CFA" w:rsidP="00976CFA">
      <w:pPr>
        <w:pStyle w:val="ListParagraph"/>
        <w:numPr>
          <w:ilvl w:val="0"/>
          <w:numId w:val="1"/>
        </w:numPr>
        <w:spacing w:after="0" w:line="360" w:lineRule="auto"/>
        <w:ind w:right="-897"/>
      </w:pPr>
      <w:r>
        <w:t xml:space="preserve">Staff training, including regular refresher training, shall be recorded and a record of this training shall be made available, on reasonable request, to an authorised officer of a responsible authority. </w:t>
      </w:r>
    </w:p>
    <w:p w14:paraId="2A733752" w14:textId="77777777" w:rsidR="00976CFA" w:rsidRDefault="00976CFA" w:rsidP="00976CFA">
      <w:pPr>
        <w:pStyle w:val="ListParagraph"/>
        <w:numPr>
          <w:ilvl w:val="0"/>
          <w:numId w:val="1"/>
        </w:numPr>
        <w:spacing w:after="0" w:line="360" w:lineRule="auto"/>
        <w:ind w:right="-897"/>
      </w:pPr>
      <w:r>
        <w:t xml:space="preserve">A minimum of one Personal license holder may be </w:t>
      </w:r>
      <w:proofErr w:type="gramStart"/>
      <w:r>
        <w:t>required on the premises at all times</w:t>
      </w:r>
      <w:proofErr w:type="gramEnd"/>
      <w:r>
        <w:t>, working with a sufficient number of staff to cover longer hours and busy times.</w:t>
      </w:r>
    </w:p>
    <w:p w14:paraId="211E217A" w14:textId="77777777" w:rsidR="00976CFA" w:rsidRDefault="00976CFA" w:rsidP="00976CFA">
      <w:pPr>
        <w:pStyle w:val="ListParagraph"/>
        <w:numPr>
          <w:ilvl w:val="0"/>
          <w:numId w:val="1"/>
        </w:numPr>
        <w:spacing w:after="0" w:line="360" w:lineRule="auto"/>
        <w:ind w:right="-897"/>
      </w:pPr>
      <w:r>
        <w:t xml:space="preserve">All staff on duty to have basic training (of an alcohol and licensing overview, ID checking and dealing with difficult customers) as part of their probation. </w:t>
      </w:r>
    </w:p>
    <w:p w14:paraId="1BF71340" w14:textId="77777777" w:rsidR="00976CFA" w:rsidRDefault="00976CFA" w:rsidP="00976CFA">
      <w:pPr>
        <w:pStyle w:val="ListParagraph"/>
        <w:numPr>
          <w:ilvl w:val="0"/>
          <w:numId w:val="1"/>
        </w:numPr>
        <w:spacing w:after="0" w:line="360" w:lineRule="auto"/>
        <w:ind w:right="-897"/>
      </w:pPr>
      <w:r>
        <w:t xml:space="preserve">Refresher training is done annually and a list of personal license holders and staff who have completed the alcohol and license overview training are recorded and filed. </w:t>
      </w:r>
    </w:p>
    <w:p w14:paraId="70AA2E20" w14:textId="77777777" w:rsidR="00976CFA" w:rsidRDefault="00976CFA" w:rsidP="00976CFA">
      <w:pPr>
        <w:pStyle w:val="ListParagraph"/>
        <w:numPr>
          <w:ilvl w:val="0"/>
          <w:numId w:val="1"/>
        </w:numPr>
        <w:spacing w:after="0" w:line="360" w:lineRule="auto"/>
        <w:ind w:right="-897"/>
      </w:pPr>
      <w:r>
        <w:t xml:space="preserve">Additional personal license holder maybe required to be on site if there is more than one event taking place, this will be at the Managers discretion to decide if the event requires the additional support. </w:t>
      </w:r>
    </w:p>
    <w:p w14:paraId="4BB88473" w14:textId="77777777" w:rsidR="00976CFA" w:rsidRDefault="00976CFA" w:rsidP="00976CFA">
      <w:pPr>
        <w:pStyle w:val="ListParagraph"/>
        <w:numPr>
          <w:ilvl w:val="0"/>
          <w:numId w:val="1"/>
        </w:numPr>
        <w:spacing w:after="0" w:line="360" w:lineRule="auto"/>
        <w:ind w:right="-897"/>
      </w:pPr>
      <w:r>
        <w:lastRenderedPageBreak/>
        <w:t xml:space="preserve">The Premises License is displayed in Wates House, Oak House &amp; Hillside Food Court. The nominated Designated Premises supervisor is included and displayed on the License. </w:t>
      </w:r>
    </w:p>
    <w:p w14:paraId="00BE0F51" w14:textId="77777777" w:rsidR="00976CFA" w:rsidRDefault="00976CFA" w:rsidP="00976CFA">
      <w:pPr>
        <w:pStyle w:val="ListParagraph"/>
        <w:numPr>
          <w:ilvl w:val="0"/>
          <w:numId w:val="1"/>
        </w:numPr>
        <w:spacing w:after="0" w:line="360" w:lineRule="auto"/>
        <w:ind w:right="-897"/>
      </w:pPr>
      <w:r>
        <w:t xml:space="preserve">Ensure door Supervisors are present if required depending on the nature of the event and the numbers attending. </w:t>
      </w:r>
    </w:p>
    <w:p w14:paraId="165E3A3F" w14:textId="77777777" w:rsidR="00976CFA" w:rsidRDefault="00976CFA" w:rsidP="00976CFA">
      <w:pPr>
        <w:pStyle w:val="ListParagraph"/>
        <w:numPr>
          <w:ilvl w:val="0"/>
          <w:numId w:val="1"/>
        </w:numPr>
        <w:spacing w:after="0" w:line="360" w:lineRule="auto"/>
        <w:ind w:right="-897"/>
      </w:pPr>
      <w:r>
        <w:t xml:space="preserve">Plastic cups and bottles will be considered for all events but for external events it will be compulsory. </w:t>
      </w:r>
    </w:p>
    <w:p w14:paraId="37ED2F9F" w14:textId="77777777" w:rsidR="00976CFA" w:rsidRDefault="00976CFA" w:rsidP="00976CFA">
      <w:pPr>
        <w:pStyle w:val="ListParagraph"/>
        <w:numPr>
          <w:ilvl w:val="0"/>
          <w:numId w:val="1"/>
        </w:numPr>
        <w:spacing w:after="0" w:line="360" w:lineRule="auto"/>
        <w:ind w:right="-897"/>
      </w:pPr>
      <w:r>
        <w:t xml:space="preserve">Ensure staff do regular glass collections. </w:t>
      </w:r>
    </w:p>
    <w:p w14:paraId="2148B69A" w14:textId="77777777" w:rsidR="00976CFA" w:rsidRDefault="00976CFA" w:rsidP="00976CFA">
      <w:pPr>
        <w:pStyle w:val="ListParagraph"/>
        <w:numPr>
          <w:ilvl w:val="0"/>
          <w:numId w:val="1"/>
        </w:numPr>
        <w:spacing w:after="0" w:line="360" w:lineRule="auto"/>
        <w:ind w:right="-897"/>
      </w:pPr>
      <w:r>
        <w:t xml:space="preserve">Be part of Pub Watch and Challenge 25, request Photo ID to control underage drinks. </w:t>
      </w:r>
    </w:p>
    <w:p w14:paraId="7D91E6D7" w14:textId="77777777" w:rsidR="00976CFA" w:rsidRDefault="00976CFA" w:rsidP="00976CFA">
      <w:pPr>
        <w:pStyle w:val="ListParagraph"/>
        <w:numPr>
          <w:ilvl w:val="0"/>
          <w:numId w:val="1"/>
        </w:numPr>
        <w:spacing w:after="0" w:line="360" w:lineRule="auto"/>
        <w:ind w:right="-897"/>
      </w:pPr>
      <w:r>
        <w:t xml:space="preserve">Acceptable forms of ID are a photo driving license, a valid passport, proof of age card. </w:t>
      </w:r>
    </w:p>
    <w:p w14:paraId="6151CF73" w14:textId="77777777" w:rsidR="00976CFA" w:rsidRDefault="00976CFA" w:rsidP="00976CFA">
      <w:pPr>
        <w:pStyle w:val="ListParagraph"/>
        <w:numPr>
          <w:ilvl w:val="0"/>
          <w:numId w:val="1"/>
        </w:numPr>
        <w:spacing w:after="0" w:line="360" w:lineRule="auto"/>
        <w:ind w:right="-897"/>
      </w:pPr>
      <w:r>
        <w:t xml:space="preserve">CCTV must be in place and video footage will be stored for a minimum of 28 days. </w:t>
      </w:r>
    </w:p>
    <w:p w14:paraId="1A9046AC" w14:textId="77777777" w:rsidR="00976CFA" w:rsidRDefault="00976CFA" w:rsidP="00976CFA">
      <w:pPr>
        <w:pStyle w:val="ListParagraph"/>
        <w:numPr>
          <w:ilvl w:val="0"/>
          <w:numId w:val="1"/>
        </w:numPr>
        <w:spacing w:after="0" w:line="360" w:lineRule="auto"/>
        <w:ind w:right="-897"/>
      </w:pPr>
      <w:r>
        <w:t xml:space="preserve">Ensure all checks are in place and signed off on a monthly checklist via our 'Food Alert &amp; Health &amp; Safety' system. See list: Annual gas safety checks and electrical checks, Manual handling checks and training,  </w:t>
      </w:r>
      <w:proofErr w:type="spellStart"/>
      <w:r>
        <w:t>Heath</w:t>
      </w:r>
      <w:proofErr w:type="spellEnd"/>
      <w:r>
        <w:t xml:space="preserve"> and safety policy and ensure all Risk assessments are up to date and reviewed annually,  Asbestos survey of the premises, Employers and public liability insurance in place, Fire extinguishers and emergency procedures in place, Designated </w:t>
      </w:r>
      <w:proofErr w:type="spellStart"/>
      <w:r>
        <w:t>non smoking</w:t>
      </w:r>
      <w:proofErr w:type="spellEnd"/>
      <w:r>
        <w:t xml:space="preserve"> and smoking areas in place and clear signage displayed, Rules in place to provide excellent </w:t>
      </w:r>
      <w:proofErr w:type="spellStart"/>
      <w:r>
        <w:t>house keeping</w:t>
      </w:r>
      <w:proofErr w:type="spellEnd"/>
      <w:r>
        <w:t xml:space="preserve"> and high standards. All </w:t>
      </w:r>
      <w:proofErr w:type="spellStart"/>
      <w:r>
        <w:t>heath</w:t>
      </w:r>
      <w:proofErr w:type="spellEnd"/>
      <w:r>
        <w:t xml:space="preserve"> and safety documents and insurances are available to view at the premises. </w:t>
      </w:r>
    </w:p>
    <w:p w14:paraId="2BF3EA6F" w14:textId="77777777" w:rsidR="00976CFA" w:rsidRDefault="00976CFA" w:rsidP="00976CFA">
      <w:pPr>
        <w:pStyle w:val="ListParagraph"/>
        <w:numPr>
          <w:ilvl w:val="0"/>
          <w:numId w:val="1"/>
        </w:numPr>
        <w:spacing w:after="0" w:line="360" w:lineRule="auto"/>
        <w:ind w:right="-897"/>
      </w:pPr>
      <w:r>
        <w:t xml:space="preserve">Noise is likely to be the main public nuisance. Owing to the nature of certain events there is a required element of 'noise' expected within the site premises, in conjunction to ongoing off-site levels, which must be recognised. </w:t>
      </w:r>
    </w:p>
    <w:p w14:paraId="477575C5" w14:textId="77777777" w:rsidR="00976CFA" w:rsidRDefault="00976CFA" w:rsidP="00976CFA">
      <w:pPr>
        <w:pStyle w:val="ListParagraph"/>
        <w:numPr>
          <w:ilvl w:val="0"/>
          <w:numId w:val="1"/>
        </w:numPr>
        <w:spacing w:after="0" w:line="360" w:lineRule="auto"/>
        <w:ind w:right="-897"/>
      </w:pPr>
      <w:r>
        <w:t>Measures have been put in place to control environmental sound levels and therefore reduce overall 'noise'.</w:t>
      </w:r>
    </w:p>
    <w:p w14:paraId="0033F16B" w14:textId="77777777" w:rsidR="00976CFA" w:rsidRDefault="00976CFA" w:rsidP="00976CFA">
      <w:pPr>
        <w:pStyle w:val="ListParagraph"/>
        <w:numPr>
          <w:ilvl w:val="0"/>
          <w:numId w:val="1"/>
        </w:numPr>
        <w:spacing w:after="0" w:line="360" w:lineRule="auto"/>
        <w:ind w:right="-897"/>
      </w:pPr>
      <w:r>
        <w:t xml:space="preserve">This applies especially to off-site and amplified sounds. </w:t>
      </w:r>
    </w:p>
    <w:p w14:paraId="63C14A18" w14:textId="77777777" w:rsidR="00976CFA" w:rsidRDefault="00976CFA" w:rsidP="00976CFA">
      <w:pPr>
        <w:pStyle w:val="ListParagraph"/>
        <w:numPr>
          <w:ilvl w:val="0"/>
          <w:numId w:val="1"/>
        </w:numPr>
        <w:spacing w:after="0" w:line="360" w:lineRule="auto"/>
        <w:ind w:right="-897"/>
      </w:pPr>
      <w:r>
        <w:t xml:space="preserve">Advanced speaker technology has been shown to increase the efficiency of sound reinforcement, so sound can be focused and controlled to a much higher degree. </w:t>
      </w:r>
    </w:p>
    <w:p w14:paraId="09446BB7" w14:textId="77777777" w:rsidR="00976CFA" w:rsidRDefault="00976CFA" w:rsidP="00976CFA">
      <w:pPr>
        <w:pStyle w:val="ListParagraph"/>
        <w:numPr>
          <w:ilvl w:val="0"/>
          <w:numId w:val="1"/>
        </w:numPr>
        <w:spacing w:after="0" w:line="360" w:lineRule="auto"/>
        <w:ind w:right="-897"/>
      </w:pPr>
      <w:r>
        <w:t>Effective management by using modern sound systems will allow the teams to reduce the size of the sound system for the same audience area.</w:t>
      </w:r>
    </w:p>
    <w:p w14:paraId="20E50A0C" w14:textId="77777777" w:rsidR="00976CFA" w:rsidRDefault="00976CFA" w:rsidP="00976CFA">
      <w:pPr>
        <w:pStyle w:val="ListParagraph"/>
        <w:numPr>
          <w:ilvl w:val="0"/>
          <w:numId w:val="1"/>
        </w:numPr>
        <w:spacing w:after="0" w:line="360" w:lineRule="auto"/>
        <w:ind w:right="-897"/>
      </w:pPr>
      <w:r>
        <w:t xml:space="preserve">Where appropriate, keep doors &amp; windows closed in respective buildings during live or recorded music events to minimise noise disturbance. </w:t>
      </w:r>
    </w:p>
    <w:p w14:paraId="0DBF3B8A" w14:textId="77777777" w:rsidR="00976CFA" w:rsidRDefault="00976CFA" w:rsidP="00976CFA">
      <w:pPr>
        <w:pStyle w:val="ListParagraph"/>
        <w:numPr>
          <w:ilvl w:val="0"/>
          <w:numId w:val="1"/>
        </w:numPr>
        <w:spacing w:after="0" w:line="360" w:lineRule="auto"/>
        <w:ind w:right="-897"/>
      </w:pPr>
      <w:r>
        <w:t xml:space="preserve">The normal volume restriction (65 decibel) will be kept. </w:t>
      </w:r>
    </w:p>
    <w:p w14:paraId="7C5BD40D" w14:textId="77777777" w:rsidR="00976CFA" w:rsidRDefault="00976CFA" w:rsidP="00976CFA">
      <w:pPr>
        <w:pStyle w:val="ListParagraph"/>
        <w:numPr>
          <w:ilvl w:val="0"/>
          <w:numId w:val="1"/>
        </w:numPr>
        <w:spacing w:after="0" w:line="360" w:lineRule="auto"/>
        <w:ind w:right="-897"/>
      </w:pPr>
      <w:r>
        <w:t xml:space="preserve">Any events exceeding levels outside of this, will </w:t>
      </w:r>
      <w:proofErr w:type="gramStart"/>
      <w:r>
        <w:t>be in agreement</w:t>
      </w:r>
      <w:proofErr w:type="gramEnd"/>
      <w:r>
        <w:t xml:space="preserve"> with environmental health prior to an event taking place where specific permission is granted. </w:t>
      </w:r>
    </w:p>
    <w:p w14:paraId="69E2FC64" w14:textId="77777777" w:rsidR="00976CFA" w:rsidRDefault="00976CFA" w:rsidP="00976CFA">
      <w:pPr>
        <w:pStyle w:val="ListParagraph"/>
        <w:numPr>
          <w:ilvl w:val="0"/>
          <w:numId w:val="1"/>
        </w:numPr>
        <w:spacing w:after="0" w:line="360" w:lineRule="auto"/>
        <w:ind w:right="-897"/>
      </w:pPr>
      <w:r>
        <w:t>Have noise restrictions on equipment.</w:t>
      </w:r>
    </w:p>
    <w:p w14:paraId="43F98A54" w14:textId="77777777" w:rsidR="00976CFA" w:rsidRDefault="00976CFA" w:rsidP="00976CFA">
      <w:pPr>
        <w:pStyle w:val="ListParagraph"/>
        <w:numPr>
          <w:ilvl w:val="0"/>
          <w:numId w:val="1"/>
        </w:numPr>
        <w:spacing w:after="0" w:line="360" w:lineRule="auto"/>
        <w:ind w:right="-897"/>
      </w:pPr>
      <w:r>
        <w:t>Speakers will be facing away from residential areas.</w:t>
      </w:r>
    </w:p>
    <w:p w14:paraId="573C97F9" w14:textId="77777777" w:rsidR="00976CFA" w:rsidRDefault="00976CFA" w:rsidP="00976CFA">
      <w:pPr>
        <w:pStyle w:val="ListParagraph"/>
        <w:numPr>
          <w:ilvl w:val="0"/>
          <w:numId w:val="1"/>
        </w:numPr>
        <w:spacing w:after="0" w:line="360" w:lineRule="auto"/>
        <w:ind w:right="-897"/>
      </w:pPr>
      <w:r>
        <w:t>The hours of outside entertainment will be restricted.</w:t>
      </w:r>
    </w:p>
    <w:p w14:paraId="4A9F1508" w14:textId="77777777" w:rsidR="00976CFA" w:rsidRDefault="00976CFA" w:rsidP="00976CFA">
      <w:pPr>
        <w:pStyle w:val="ListParagraph"/>
        <w:numPr>
          <w:ilvl w:val="0"/>
          <w:numId w:val="1"/>
        </w:numPr>
        <w:spacing w:after="0" w:line="360" w:lineRule="auto"/>
        <w:ind w:right="-897"/>
      </w:pPr>
      <w:r>
        <w:t>Signage will be in place asking people to leave quietly.</w:t>
      </w:r>
    </w:p>
    <w:p w14:paraId="53F6AB1F" w14:textId="77777777" w:rsidR="00976CFA" w:rsidRDefault="00976CFA" w:rsidP="00976CFA">
      <w:pPr>
        <w:pStyle w:val="ListParagraph"/>
        <w:numPr>
          <w:ilvl w:val="0"/>
          <w:numId w:val="1"/>
        </w:numPr>
        <w:spacing w:after="0" w:line="360" w:lineRule="auto"/>
        <w:ind w:right="-897"/>
      </w:pPr>
      <w:r>
        <w:t>Regular sound checks will take place inside &amp; outside of the premises.</w:t>
      </w:r>
    </w:p>
    <w:p w14:paraId="390FAE96" w14:textId="77777777" w:rsidR="00976CFA" w:rsidRDefault="00976CFA" w:rsidP="00976CFA">
      <w:pPr>
        <w:pStyle w:val="ListParagraph"/>
        <w:numPr>
          <w:ilvl w:val="0"/>
          <w:numId w:val="1"/>
        </w:numPr>
        <w:spacing w:after="0" w:line="360" w:lineRule="auto"/>
        <w:ind w:right="-897"/>
      </w:pPr>
      <w:r>
        <w:t xml:space="preserve">Speakers will be positioned away from external walls. </w:t>
      </w:r>
    </w:p>
    <w:p w14:paraId="29A980AB" w14:textId="77777777" w:rsidR="00976CFA" w:rsidRDefault="00976CFA" w:rsidP="00976CFA">
      <w:pPr>
        <w:pStyle w:val="ListParagraph"/>
        <w:numPr>
          <w:ilvl w:val="0"/>
          <w:numId w:val="1"/>
        </w:numPr>
        <w:spacing w:after="0" w:line="360" w:lineRule="auto"/>
        <w:ind w:right="-897"/>
      </w:pPr>
      <w:r>
        <w:lastRenderedPageBreak/>
        <w:t>Ensure the entertainers are aware of any noise restrictions placed on them prior to commencement, e.g. Music must be turned down or switched off by 11pm. This will be agreed prior to the event by line management.</w:t>
      </w:r>
    </w:p>
    <w:p w14:paraId="66B9E13B" w14:textId="77777777" w:rsidR="00976CFA" w:rsidRDefault="00976CFA" w:rsidP="00976CFA">
      <w:pPr>
        <w:pStyle w:val="ListParagraph"/>
        <w:numPr>
          <w:ilvl w:val="0"/>
          <w:numId w:val="1"/>
        </w:numPr>
        <w:spacing w:after="0" w:line="360" w:lineRule="auto"/>
        <w:ind w:right="-897"/>
      </w:pPr>
      <w:r>
        <w:t xml:space="preserve">Restrict areas where children (under 16) are allowed on the premises. Specifically, no children to go into the bar area of Wates House after </w:t>
      </w:r>
      <w:proofErr w:type="gramStart"/>
      <w:r>
        <w:t>7pm, and</w:t>
      </w:r>
      <w:proofErr w:type="gramEnd"/>
      <w:r>
        <w:t xml:space="preserve"> provide alternative designated areas with entertainment if necessary. </w:t>
      </w:r>
    </w:p>
    <w:p w14:paraId="04028EB8" w14:textId="77777777" w:rsidR="00976CFA" w:rsidRDefault="00976CFA" w:rsidP="00976CFA">
      <w:pPr>
        <w:pStyle w:val="ListParagraph"/>
        <w:numPr>
          <w:ilvl w:val="0"/>
          <w:numId w:val="1"/>
        </w:numPr>
        <w:spacing w:after="0" w:line="360" w:lineRule="auto"/>
        <w:ind w:right="-897"/>
      </w:pPr>
      <w:r>
        <w:t xml:space="preserve">All children under 16 must be </w:t>
      </w:r>
      <w:proofErr w:type="gramStart"/>
      <w:r>
        <w:t>accompanied by an adult at all times</w:t>
      </w:r>
      <w:proofErr w:type="gramEnd"/>
      <w:r>
        <w:t xml:space="preserve">. </w:t>
      </w:r>
    </w:p>
    <w:p w14:paraId="77E89A14" w14:textId="215102BC" w:rsidR="00C10B6D" w:rsidRDefault="00976CFA" w:rsidP="00976CFA">
      <w:pPr>
        <w:pStyle w:val="ListParagraph"/>
        <w:numPr>
          <w:ilvl w:val="0"/>
          <w:numId w:val="1"/>
        </w:numPr>
        <w:spacing w:after="0" w:line="360" w:lineRule="auto"/>
        <w:ind w:right="-897"/>
      </w:pPr>
      <w:r>
        <w:t>Similar restrictions apply to all licensed areas where alcohol is being sold. Unless previously agreed by management prior to the event taking place and a risk assessment is considered.</w:t>
      </w:r>
    </w:p>
    <w:sectPr w:rsidR="00C10B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2B25"/>
    <w:multiLevelType w:val="hybridMultilevel"/>
    <w:tmpl w:val="B600A1DC"/>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num w:numId="1" w16cid:durableId="138714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FA"/>
    <w:rsid w:val="003C5C88"/>
    <w:rsid w:val="0048585E"/>
    <w:rsid w:val="005F4C76"/>
    <w:rsid w:val="00976CFA"/>
    <w:rsid w:val="00C10B6D"/>
    <w:rsid w:val="00CC0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AC4D"/>
  <w15:chartTrackingRefBased/>
  <w15:docId w15:val="{CC56E62D-3544-41A8-90C5-48F5B223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CFA"/>
    <w:rPr>
      <w:rFonts w:ascii="Arial" w:hAnsi="Arial"/>
    </w:rPr>
  </w:style>
  <w:style w:type="paragraph" w:styleId="Heading1">
    <w:name w:val="heading 1"/>
    <w:basedOn w:val="Normal"/>
    <w:next w:val="Normal"/>
    <w:link w:val="Heading1Char"/>
    <w:uiPriority w:val="9"/>
    <w:qFormat/>
    <w:rsid w:val="00976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CFA"/>
    <w:rPr>
      <w:rFonts w:eastAsiaTheme="majorEastAsia" w:cstheme="majorBidi"/>
      <w:color w:val="272727" w:themeColor="text1" w:themeTint="D8"/>
    </w:rPr>
  </w:style>
  <w:style w:type="paragraph" w:styleId="Title">
    <w:name w:val="Title"/>
    <w:basedOn w:val="Normal"/>
    <w:next w:val="Normal"/>
    <w:link w:val="TitleChar"/>
    <w:uiPriority w:val="10"/>
    <w:qFormat/>
    <w:rsid w:val="00976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CFA"/>
    <w:pPr>
      <w:spacing w:before="160"/>
      <w:jc w:val="center"/>
    </w:pPr>
    <w:rPr>
      <w:i/>
      <w:iCs/>
      <w:color w:val="404040" w:themeColor="text1" w:themeTint="BF"/>
    </w:rPr>
  </w:style>
  <w:style w:type="character" w:customStyle="1" w:styleId="QuoteChar">
    <w:name w:val="Quote Char"/>
    <w:basedOn w:val="DefaultParagraphFont"/>
    <w:link w:val="Quote"/>
    <w:uiPriority w:val="29"/>
    <w:rsid w:val="00976CFA"/>
    <w:rPr>
      <w:i/>
      <w:iCs/>
      <w:color w:val="404040" w:themeColor="text1" w:themeTint="BF"/>
    </w:rPr>
  </w:style>
  <w:style w:type="paragraph" w:styleId="ListParagraph">
    <w:name w:val="List Paragraph"/>
    <w:basedOn w:val="Normal"/>
    <w:uiPriority w:val="34"/>
    <w:qFormat/>
    <w:rsid w:val="00976CFA"/>
    <w:pPr>
      <w:ind w:left="720"/>
      <w:contextualSpacing/>
    </w:pPr>
  </w:style>
  <w:style w:type="character" w:styleId="IntenseEmphasis">
    <w:name w:val="Intense Emphasis"/>
    <w:basedOn w:val="DefaultParagraphFont"/>
    <w:uiPriority w:val="21"/>
    <w:qFormat/>
    <w:rsid w:val="00976CFA"/>
    <w:rPr>
      <w:i/>
      <w:iCs/>
      <w:color w:val="0F4761" w:themeColor="accent1" w:themeShade="BF"/>
    </w:rPr>
  </w:style>
  <w:style w:type="paragraph" w:styleId="IntenseQuote">
    <w:name w:val="Intense Quote"/>
    <w:basedOn w:val="Normal"/>
    <w:next w:val="Normal"/>
    <w:link w:val="IntenseQuoteChar"/>
    <w:uiPriority w:val="30"/>
    <w:qFormat/>
    <w:rsid w:val="00976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CFA"/>
    <w:rPr>
      <w:i/>
      <w:iCs/>
      <w:color w:val="0F4761" w:themeColor="accent1" w:themeShade="BF"/>
    </w:rPr>
  </w:style>
  <w:style w:type="character" w:styleId="IntenseReference">
    <w:name w:val="Intense Reference"/>
    <w:basedOn w:val="DefaultParagraphFont"/>
    <w:uiPriority w:val="32"/>
    <w:qFormat/>
    <w:rsid w:val="00976C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2aa9066e9fe6a98b2990985d9a97f282">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b45743e5a9fbe7d075b24e4a0ba1b76f"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458DC-4DB5-4262-A0ED-DCA3C7AEDA0A}">
  <ds:schemaRefs>
    <ds:schemaRef ds:uri="http://schemas.microsoft.com/office/2006/metadata/properties"/>
    <ds:schemaRef ds:uri="http://schemas.microsoft.com/office/infopath/2007/PartnerControls"/>
    <ds:schemaRef ds:uri="2dc04004-170d-4a3d-aeb7-830a0dde2a9a"/>
    <ds:schemaRef ds:uri="cd224b5b-be00-47f2-a532-9cf5902bb6c9"/>
  </ds:schemaRefs>
</ds:datastoreItem>
</file>

<file path=customXml/itemProps2.xml><?xml version="1.0" encoding="utf-8"?>
<ds:datastoreItem xmlns:ds="http://schemas.openxmlformats.org/officeDocument/2006/customXml" ds:itemID="{06083FD8-E71D-42DB-903F-E6DA41291DF5}">
  <ds:schemaRefs>
    <ds:schemaRef ds:uri="http://schemas.microsoft.com/sharepoint/v3/contenttype/forms"/>
  </ds:schemaRefs>
</ds:datastoreItem>
</file>

<file path=customXml/itemProps3.xml><?xml version="1.0" encoding="utf-8"?>
<ds:datastoreItem xmlns:ds="http://schemas.openxmlformats.org/officeDocument/2006/customXml" ds:itemID="{5722A734-F9A2-473A-B38F-2D3402682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Mullarkey</dc:creator>
  <cp:keywords/>
  <dc:description/>
  <cp:lastModifiedBy>Gabriella Ebbs</cp:lastModifiedBy>
  <cp:revision>2</cp:revision>
  <dcterms:created xsi:type="dcterms:W3CDTF">2026-04-01T10:28:00Z</dcterms:created>
  <dcterms:modified xsi:type="dcterms:W3CDTF">2026-04-01T10:28:00Z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0x01010063CB75F396382D4E9CA0CCE621754F8E</vt:lpwstr>
  </property>
</Properties>
</file>